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6A946" w14:textId="77777777" w:rsidR="008B6711" w:rsidRDefault="008B6711" w:rsidP="008B6711">
      <w:pPr>
        <w:spacing w:before="60"/>
        <w:ind w:left="425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Opis badań i ich uwarunkowań</w:t>
      </w:r>
    </w:p>
    <w:p w14:paraId="3A98B2C1" w14:textId="77777777" w:rsidR="008B6711" w:rsidRDefault="008B6711" w:rsidP="008B6711">
      <w:pPr>
        <w:spacing w:before="60" w:after="60" w:line="240" w:lineRule="auto"/>
        <w:ind w:left="425"/>
        <w:jc w:val="both"/>
        <w:rPr>
          <w:rStyle w:val="Teksttreci"/>
        </w:rPr>
      </w:pPr>
      <w:r>
        <w:rPr>
          <w:rFonts w:ascii="Calibri" w:hAnsi="Calibri" w:cs="Calibri"/>
          <w:sz w:val="24"/>
          <w:szCs w:val="24"/>
        </w:rPr>
        <w:t xml:space="preserve">Zakłada się, że badania </w:t>
      </w:r>
      <w:r>
        <w:rPr>
          <w:rStyle w:val="Teksttreci"/>
          <w:sz w:val="24"/>
          <w:szCs w:val="24"/>
        </w:rPr>
        <w:t>stacjonarnego monitoringu PEM</w:t>
      </w:r>
      <w:r>
        <w:rPr>
          <w:rFonts w:ascii="Calibri" w:hAnsi="Calibri" w:cs="Calibri"/>
          <w:sz w:val="24"/>
          <w:szCs w:val="24"/>
        </w:rPr>
        <w:t xml:space="preserve"> prowadzone będą</w:t>
      </w:r>
      <w:r>
        <w:rPr>
          <w:rStyle w:val="Teksttreci"/>
          <w:sz w:val="24"/>
          <w:szCs w:val="24"/>
        </w:rPr>
        <w:t xml:space="preserve"> w kolejnych latach, zgodnie ze zleceniami Ministra Cyfryzacji.</w:t>
      </w:r>
    </w:p>
    <w:p w14:paraId="0F0E652A" w14:textId="77777777" w:rsidR="008B6711" w:rsidRDefault="008B6711" w:rsidP="008B6711">
      <w:pPr>
        <w:spacing w:before="60" w:after="60" w:line="240" w:lineRule="auto"/>
        <w:ind w:left="425"/>
        <w:jc w:val="both"/>
        <w:rPr>
          <w:rStyle w:val="Teksttrec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Badania prowadzone będą </w:t>
      </w:r>
      <w:r>
        <w:rPr>
          <w:rStyle w:val="Teksttreci"/>
          <w:sz w:val="24"/>
          <w:szCs w:val="24"/>
        </w:rPr>
        <w:t xml:space="preserve">z wykorzystaniem </w:t>
      </w:r>
      <w:r>
        <w:rPr>
          <w:rStyle w:val="Teksttreci"/>
          <w:i/>
          <w:sz w:val="24"/>
          <w:szCs w:val="24"/>
        </w:rPr>
        <w:t xml:space="preserve">zestawów pomiarowych </w:t>
      </w:r>
      <w:r>
        <w:rPr>
          <w:rStyle w:val="Teksttreci"/>
          <w:sz w:val="24"/>
          <w:szCs w:val="24"/>
        </w:rPr>
        <w:t xml:space="preserve">stacjonarnego monitoringu PEM, </w:t>
      </w:r>
      <w:r>
        <w:rPr>
          <w:rFonts w:ascii="Calibri" w:hAnsi="Calibri" w:cs="Calibri"/>
          <w:sz w:val="24"/>
          <w:szCs w:val="24"/>
        </w:rPr>
        <w:t>zarówno</w:t>
      </w:r>
      <w:r>
        <w:rPr>
          <w:rStyle w:val="Teksttreci"/>
          <w:sz w:val="24"/>
          <w:szCs w:val="24"/>
        </w:rPr>
        <w:t xml:space="preserve"> szerokopasmowego (SMS PEM) jak i selektywnego (SELMS PEM), stosownie do potrzeb i możliwości </w:t>
      </w:r>
      <w:r>
        <w:rPr>
          <w:rStyle w:val="Teksttreci"/>
          <w:i/>
          <w:sz w:val="24"/>
          <w:szCs w:val="24"/>
        </w:rPr>
        <w:t>Urzędu</w:t>
      </w:r>
      <w:r>
        <w:rPr>
          <w:rStyle w:val="Teksttreci"/>
          <w:sz w:val="24"/>
          <w:szCs w:val="24"/>
        </w:rPr>
        <w:t xml:space="preserve"> w zakresie wskazania reprezentatywnych lokalizacji do przeprowadzenia badań.</w:t>
      </w:r>
    </w:p>
    <w:p w14:paraId="364BC7F0" w14:textId="77777777" w:rsidR="008B6711" w:rsidRDefault="008B6711" w:rsidP="008B6711">
      <w:pPr>
        <w:spacing w:before="60" w:after="60" w:line="240" w:lineRule="auto"/>
        <w:ind w:left="425"/>
        <w:jc w:val="both"/>
      </w:pPr>
      <w:r>
        <w:rPr>
          <w:rFonts w:ascii="Calibri" w:hAnsi="Calibri" w:cs="Calibri"/>
          <w:sz w:val="24"/>
          <w:szCs w:val="24"/>
        </w:rPr>
        <w:t xml:space="preserve">Badania </w:t>
      </w:r>
      <w:r>
        <w:rPr>
          <w:rStyle w:val="Teksttreci"/>
          <w:sz w:val="24"/>
          <w:szCs w:val="24"/>
        </w:rPr>
        <w:t>stacjonarnego monitoringu PEM</w:t>
      </w:r>
      <w:r>
        <w:rPr>
          <w:rFonts w:ascii="Calibri" w:hAnsi="Calibri" w:cs="Calibri"/>
          <w:sz w:val="24"/>
          <w:szCs w:val="24"/>
        </w:rPr>
        <w:t xml:space="preserve"> prowadzone będą</w:t>
      </w:r>
      <w:r>
        <w:rPr>
          <w:rStyle w:val="Teksttreci"/>
          <w:sz w:val="24"/>
          <w:szCs w:val="24"/>
        </w:rPr>
        <w:t xml:space="preserve"> w lokalizacjach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Style w:val="Teksttreci"/>
          <w:sz w:val="24"/>
          <w:szCs w:val="24"/>
        </w:rPr>
        <w:t xml:space="preserve">wytypowanych przez </w:t>
      </w:r>
      <w:r>
        <w:rPr>
          <w:rStyle w:val="Teksttreci"/>
          <w:i/>
          <w:sz w:val="24"/>
          <w:szCs w:val="24"/>
        </w:rPr>
        <w:t>Urząd</w:t>
      </w:r>
      <w:r>
        <w:rPr>
          <w:rStyle w:val="Teksttreci"/>
          <w:sz w:val="24"/>
          <w:szCs w:val="24"/>
        </w:rPr>
        <w:t xml:space="preserve"> i uzgodnionych z </w:t>
      </w:r>
      <w:r>
        <w:rPr>
          <w:rStyle w:val="Teksttreci"/>
          <w:i/>
          <w:sz w:val="24"/>
          <w:szCs w:val="24"/>
        </w:rPr>
        <w:t>Instytutem</w:t>
      </w:r>
      <w:r>
        <w:rPr>
          <w:rStyle w:val="Teksttreci"/>
          <w:sz w:val="24"/>
          <w:szCs w:val="24"/>
        </w:rPr>
        <w:t xml:space="preserve">. </w:t>
      </w:r>
    </w:p>
    <w:p w14:paraId="14420733" w14:textId="77777777" w:rsidR="008B6711" w:rsidRDefault="008B6711" w:rsidP="008B6711">
      <w:pPr>
        <w:spacing w:before="60" w:after="60" w:line="240" w:lineRule="auto"/>
        <w:ind w:left="425"/>
        <w:jc w:val="both"/>
        <w:rPr>
          <w:rStyle w:val="Teksttreci"/>
        </w:rPr>
      </w:pPr>
      <w:r>
        <w:rPr>
          <w:rStyle w:val="Teksttreci"/>
          <w:sz w:val="24"/>
          <w:szCs w:val="24"/>
        </w:rPr>
        <w:t xml:space="preserve">Z uwagi na istotne uwarunkowania związane z wyborem reprezentatywnej, łatwo dostępnej, a zarazem bezpiecznej lokalizacji, oraz z ograniczonym okresem prowadzenia badań i dostępnością </w:t>
      </w:r>
      <w:r>
        <w:rPr>
          <w:rStyle w:val="Teksttreci"/>
          <w:i/>
          <w:sz w:val="24"/>
          <w:szCs w:val="24"/>
        </w:rPr>
        <w:t>zestawów pomiarowych</w:t>
      </w:r>
      <w:r>
        <w:rPr>
          <w:rStyle w:val="Teksttreci"/>
          <w:sz w:val="24"/>
          <w:szCs w:val="24"/>
        </w:rPr>
        <w:t>, program badań w jednym roku zakłada:</w:t>
      </w:r>
    </w:p>
    <w:p w14:paraId="441AEE2B" w14:textId="77777777" w:rsidR="008B6711" w:rsidRDefault="008B6711" w:rsidP="008B6711">
      <w:pPr>
        <w:pStyle w:val="Akapitzlist"/>
        <w:numPr>
          <w:ilvl w:val="1"/>
          <w:numId w:val="1"/>
        </w:numPr>
        <w:spacing w:before="60"/>
        <w:jc w:val="both"/>
        <w:rPr>
          <w:rStyle w:val="Teksttreci"/>
          <w:sz w:val="24"/>
          <w:szCs w:val="24"/>
        </w:rPr>
      </w:pPr>
      <w:r>
        <w:rPr>
          <w:rStyle w:val="Teksttreci"/>
          <w:sz w:val="24"/>
          <w:szCs w:val="24"/>
        </w:rPr>
        <w:t>w zakresie szerokopasmowego stacjonarnego monitoringu (SMS PEM):</w:t>
      </w:r>
    </w:p>
    <w:p w14:paraId="582FBBC4" w14:textId="77777777" w:rsidR="008B6711" w:rsidRDefault="008B6711" w:rsidP="008B6711">
      <w:pPr>
        <w:pStyle w:val="Akapitzlist"/>
        <w:numPr>
          <w:ilvl w:val="2"/>
          <w:numId w:val="1"/>
        </w:numPr>
        <w:spacing w:before="60"/>
        <w:ind w:left="1418" w:hanging="284"/>
        <w:jc w:val="both"/>
        <w:rPr>
          <w:rStyle w:val="Teksttreci"/>
          <w:sz w:val="24"/>
          <w:szCs w:val="24"/>
        </w:rPr>
      </w:pPr>
      <w:r>
        <w:rPr>
          <w:rStyle w:val="Teksttreci"/>
          <w:sz w:val="24"/>
          <w:szCs w:val="24"/>
        </w:rPr>
        <w:t>3-5 dniowe cykle pomiarowe;</w:t>
      </w:r>
    </w:p>
    <w:p w14:paraId="3A43275E" w14:textId="77777777" w:rsidR="008B6711" w:rsidRDefault="008B6711" w:rsidP="008B6711">
      <w:pPr>
        <w:pStyle w:val="Akapitzlist"/>
        <w:numPr>
          <w:ilvl w:val="2"/>
          <w:numId w:val="1"/>
        </w:numPr>
        <w:spacing w:before="60"/>
        <w:ind w:left="1418" w:hanging="284"/>
        <w:jc w:val="both"/>
        <w:rPr>
          <w:rStyle w:val="Teksttreci"/>
          <w:sz w:val="24"/>
          <w:szCs w:val="24"/>
        </w:rPr>
      </w:pPr>
      <w:r>
        <w:rPr>
          <w:rStyle w:val="Teksttreci"/>
          <w:sz w:val="24"/>
          <w:szCs w:val="24"/>
        </w:rPr>
        <w:t xml:space="preserve">w jednej lokalizacji uzgodnionej z </w:t>
      </w:r>
      <w:r>
        <w:rPr>
          <w:rStyle w:val="Teksttreci"/>
          <w:i/>
          <w:sz w:val="24"/>
          <w:szCs w:val="24"/>
        </w:rPr>
        <w:t xml:space="preserve">Urzędem; </w:t>
      </w:r>
    </w:p>
    <w:p w14:paraId="3D4A20D5" w14:textId="77777777" w:rsidR="008B6711" w:rsidRDefault="008B6711" w:rsidP="008B6711">
      <w:pPr>
        <w:pStyle w:val="Akapitzlist"/>
        <w:numPr>
          <w:ilvl w:val="2"/>
          <w:numId w:val="1"/>
        </w:numPr>
        <w:spacing w:before="60"/>
        <w:ind w:left="1418" w:hanging="284"/>
        <w:jc w:val="both"/>
        <w:rPr>
          <w:rStyle w:val="Teksttreci"/>
          <w:sz w:val="24"/>
          <w:szCs w:val="24"/>
        </w:rPr>
      </w:pPr>
      <w:r>
        <w:rPr>
          <w:rStyle w:val="Teksttreci"/>
          <w:sz w:val="24"/>
          <w:szCs w:val="24"/>
        </w:rPr>
        <w:t>maksymalnie 16 lokalizacji w kraju;</w:t>
      </w:r>
    </w:p>
    <w:p w14:paraId="5FDA637E" w14:textId="77777777" w:rsidR="008B6711" w:rsidRDefault="008B6711" w:rsidP="008B6711">
      <w:pPr>
        <w:pStyle w:val="Akapitzlist"/>
        <w:numPr>
          <w:ilvl w:val="1"/>
          <w:numId w:val="1"/>
        </w:numPr>
        <w:spacing w:before="60"/>
        <w:jc w:val="both"/>
        <w:rPr>
          <w:rStyle w:val="Teksttreci"/>
          <w:sz w:val="24"/>
          <w:szCs w:val="24"/>
        </w:rPr>
      </w:pPr>
      <w:r>
        <w:rPr>
          <w:rStyle w:val="Teksttreci"/>
          <w:sz w:val="24"/>
          <w:szCs w:val="24"/>
        </w:rPr>
        <w:t>w zakresie selektywnego stacjonarnego monitoringu (SELMS PEM):</w:t>
      </w:r>
    </w:p>
    <w:p w14:paraId="5827C9FD" w14:textId="77777777" w:rsidR="008B6711" w:rsidRDefault="008B6711" w:rsidP="008B6711">
      <w:pPr>
        <w:pStyle w:val="Akapitzlist"/>
        <w:numPr>
          <w:ilvl w:val="2"/>
          <w:numId w:val="1"/>
        </w:numPr>
        <w:spacing w:before="60"/>
        <w:ind w:left="1418" w:hanging="284"/>
        <w:jc w:val="both"/>
        <w:rPr>
          <w:rStyle w:val="Teksttreci"/>
          <w:sz w:val="24"/>
          <w:szCs w:val="24"/>
        </w:rPr>
      </w:pPr>
      <w:r>
        <w:rPr>
          <w:rStyle w:val="Teksttreci"/>
          <w:sz w:val="24"/>
          <w:szCs w:val="24"/>
        </w:rPr>
        <w:t>1-2 tygodniowe cykle pomiarowe;</w:t>
      </w:r>
    </w:p>
    <w:p w14:paraId="097CDA5C" w14:textId="77777777" w:rsidR="008B6711" w:rsidRDefault="008B6711" w:rsidP="008B6711">
      <w:pPr>
        <w:pStyle w:val="Akapitzlist"/>
        <w:numPr>
          <w:ilvl w:val="2"/>
          <w:numId w:val="1"/>
        </w:numPr>
        <w:spacing w:before="60"/>
        <w:ind w:left="1418" w:hanging="284"/>
        <w:jc w:val="both"/>
        <w:rPr>
          <w:rStyle w:val="Teksttreci"/>
          <w:sz w:val="24"/>
          <w:szCs w:val="24"/>
        </w:rPr>
      </w:pPr>
      <w:r>
        <w:rPr>
          <w:rStyle w:val="Teksttreci"/>
          <w:sz w:val="24"/>
          <w:szCs w:val="24"/>
        </w:rPr>
        <w:t xml:space="preserve">w jednej lokalizacji uzgodnionej z </w:t>
      </w:r>
      <w:r>
        <w:rPr>
          <w:rStyle w:val="Teksttreci"/>
          <w:i/>
          <w:sz w:val="24"/>
          <w:szCs w:val="24"/>
        </w:rPr>
        <w:t>Urzędem</w:t>
      </w:r>
      <w:r>
        <w:rPr>
          <w:rStyle w:val="Teksttreci"/>
          <w:sz w:val="24"/>
          <w:szCs w:val="24"/>
        </w:rPr>
        <w:t xml:space="preserve">; </w:t>
      </w:r>
    </w:p>
    <w:p w14:paraId="15D1C108" w14:textId="77777777" w:rsidR="008B6711" w:rsidRDefault="008B6711" w:rsidP="008B6711">
      <w:pPr>
        <w:pStyle w:val="Akapitzlist"/>
        <w:numPr>
          <w:ilvl w:val="2"/>
          <w:numId w:val="1"/>
        </w:numPr>
        <w:spacing w:before="60"/>
        <w:ind w:left="1418" w:hanging="284"/>
        <w:jc w:val="both"/>
        <w:rPr>
          <w:rStyle w:val="Teksttreci"/>
          <w:sz w:val="24"/>
          <w:szCs w:val="24"/>
        </w:rPr>
      </w:pPr>
      <w:r>
        <w:rPr>
          <w:rStyle w:val="Teksttreci"/>
          <w:sz w:val="24"/>
          <w:szCs w:val="24"/>
        </w:rPr>
        <w:t>maksymalnie 4 lokalizacje w kraju.</w:t>
      </w:r>
    </w:p>
    <w:p w14:paraId="2AE71FEE" w14:textId="77777777" w:rsidR="008B6711" w:rsidRDefault="008B6711" w:rsidP="008B6711">
      <w:pPr>
        <w:spacing w:before="60"/>
        <w:ind w:left="425"/>
        <w:jc w:val="both"/>
      </w:pPr>
      <w:r>
        <w:rPr>
          <w:rFonts w:ascii="Calibri" w:hAnsi="Calibri" w:cs="Calibri"/>
          <w:sz w:val="24"/>
          <w:szCs w:val="24"/>
        </w:rPr>
        <w:t xml:space="preserve">Instalacji i uruchomienia oraz deinstalacji stacji monitorującej, w lokalizacjach i terminach uzgodnionych pomiędzy </w:t>
      </w:r>
      <w:r>
        <w:rPr>
          <w:rFonts w:ascii="Calibri" w:hAnsi="Calibri" w:cs="Calibri"/>
          <w:i/>
          <w:sz w:val="24"/>
          <w:szCs w:val="24"/>
        </w:rPr>
        <w:t>Urzędem</w:t>
      </w:r>
      <w:r>
        <w:rPr>
          <w:rFonts w:ascii="Calibri" w:hAnsi="Calibri" w:cs="Calibri"/>
          <w:sz w:val="24"/>
          <w:szCs w:val="24"/>
        </w:rPr>
        <w:t xml:space="preserve"> i </w:t>
      </w:r>
      <w:r>
        <w:rPr>
          <w:rFonts w:ascii="Calibri" w:hAnsi="Calibri" w:cs="Calibri"/>
          <w:i/>
          <w:sz w:val="24"/>
          <w:szCs w:val="24"/>
        </w:rPr>
        <w:t>Instytutem</w:t>
      </w:r>
      <w:r>
        <w:rPr>
          <w:rFonts w:ascii="Calibri" w:hAnsi="Calibri" w:cs="Calibri"/>
          <w:sz w:val="24"/>
          <w:szCs w:val="24"/>
        </w:rPr>
        <w:t xml:space="preserve">, dokonywać będą przedstawiciele </w:t>
      </w:r>
      <w:r>
        <w:rPr>
          <w:rFonts w:ascii="Calibri" w:hAnsi="Calibri" w:cs="Calibri"/>
          <w:i/>
          <w:sz w:val="24"/>
          <w:szCs w:val="24"/>
        </w:rPr>
        <w:t>Instytutu</w:t>
      </w:r>
      <w:r>
        <w:rPr>
          <w:rFonts w:ascii="Calibri" w:hAnsi="Calibri" w:cs="Calibri"/>
          <w:sz w:val="24"/>
          <w:szCs w:val="24"/>
        </w:rPr>
        <w:t xml:space="preserve">. Czynności te, dla każdej z uzgodnionych do badań lokalizacji będą dokumentowane protokołem </w:t>
      </w:r>
      <w:r>
        <w:rPr>
          <w:rFonts w:cstheme="minorHAnsi"/>
          <w:bCs/>
          <w:sz w:val="24"/>
          <w:szCs w:val="24"/>
        </w:rPr>
        <w:t xml:space="preserve">dostawy, montażu, uruchomienia (część A) oraz odbioru stacji monitorującej (część B). </w:t>
      </w:r>
      <w:r>
        <w:rPr>
          <w:rFonts w:ascii="Calibri" w:hAnsi="Calibri" w:cs="Calibri"/>
          <w:sz w:val="24"/>
          <w:szCs w:val="24"/>
        </w:rPr>
        <w:t xml:space="preserve">Do zadań </w:t>
      </w:r>
      <w:r>
        <w:rPr>
          <w:rFonts w:ascii="Calibri" w:hAnsi="Calibri" w:cs="Calibri"/>
          <w:i/>
          <w:sz w:val="24"/>
          <w:szCs w:val="24"/>
        </w:rPr>
        <w:t>Instytutu</w:t>
      </w:r>
      <w:r>
        <w:rPr>
          <w:rFonts w:ascii="Calibri" w:hAnsi="Calibri" w:cs="Calibri"/>
          <w:sz w:val="24"/>
          <w:szCs w:val="24"/>
        </w:rPr>
        <w:t xml:space="preserve"> należeć będzie także przekazanie podstawowych informacji na temat działania stacji. </w:t>
      </w:r>
    </w:p>
    <w:p w14:paraId="7FC0C6FF" w14:textId="77777777" w:rsidR="008B6711" w:rsidRDefault="008B6711" w:rsidP="008B6711">
      <w:pPr>
        <w:spacing w:before="60"/>
        <w:ind w:left="42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Zadania po stronie </w:t>
      </w:r>
      <w:r>
        <w:rPr>
          <w:rFonts w:ascii="Calibri" w:hAnsi="Calibri" w:cs="Calibri"/>
          <w:i/>
          <w:sz w:val="24"/>
          <w:szCs w:val="24"/>
        </w:rPr>
        <w:t>Urzędu</w:t>
      </w:r>
      <w:r>
        <w:rPr>
          <w:rFonts w:ascii="Calibri" w:hAnsi="Calibri" w:cs="Calibri"/>
          <w:sz w:val="24"/>
          <w:szCs w:val="24"/>
        </w:rPr>
        <w:t xml:space="preserve"> będą polegać na wskazaniu i uzgodnieniu z </w:t>
      </w:r>
      <w:r>
        <w:rPr>
          <w:rFonts w:ascii="Calibri" w:hAnsi="Calibri" w:cs="Calibri"/>
          <w:i/>
          <w:sz w:val="24"/>
          <w:szCs w:val="24"/>
        </w:rPr>
        <w:t>Instytutem</w:t>
      </w:r>
      <w:r>
        <w:rPr>
          <w:rFonts w:ascii="Calibri" w:hAnsi="Calibri" w:cs="Calibri"/>
          <w:sz w:val="24"/>
          <w:szCs w:val="24"/>
        </w:rPr>
        <w:t xml:space="preserve"> lokalizacji, ustaleniu terminów instalacji / deinstalacji oraz wskazaniu osoby do kontaktów roboczych. </w:t>
      </w:r>
    </w:p>
    <w:p w14:paraId="219F272A" w14:textId="77777777" w:rsidR="008B6711" w:rsidRDefault="008B6711" w:rsidP="008B6711">
      <w:pPr>
        <w:spacing w:before="60"/>
        <w:ind w:left="42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Dla każdej lokalizacji, w której zostaną przeprowadzone badania SMS PEM lub SELMS PEM, </w:t>
      </w:r>
      <w:r>
        <w:rPr>
          <w:rFonts w:ascii="Calibri" w:hAnsi="Calibri" w:cs="Calibri"/>
          <w:i/>
          <w:sz w:val="24"/>
          <w:szCs w:val="24"/>
        </w:rPr>
        <w:t>Instytut</w:t>
      </w:r>
      <w:r>
        <w:rPr>
          <w:rFonts w:ascii="Calibri" w:hAnsi="Calibri" w:cs="Calibri"/>
          <w:sz w:val="24"/>
          <w:szCs w:val="24"/>
        </w:rPr>
        <w:t xml:space="preserve"> opracuje osobny raport, zawierający wyniki zrealizowanych badań. Raporty zostaną udostępnione zainteresowanym (KPRM, </w:t>
      </w:r>
      <w:r>
        <w:rPr>
          <w:rFonts w:ascii="Calibri" w:hAnsi="Calibri" w:cs="Calibri"/>
          <w:i/>
          <w:sz w:val="24"/>
          <w:szCs w:val="24"/>
        </w:rPr>
        <w:t>Urząd</w:t>
      </w:r>
      <w:r>
        <w:rPr>
          <w:rFonts w:ascii="Calibri" w:hAnsi="Calibri" w:cs="Calibri"/>
          <w:sz w:val="24"/>
          <w:szCs w:val="24"/>
        </w:rPr>
        <w:t xml:space="preserve">), a następnie opublikowane na stronie PEM pod adresem: </w:t>
      </w:r>
      <w:hyperlink w:history="1">
        <w:r>
          <w:rPr>
            <w:rStyle w:val="Hipercze"/>
            <w:sz w:val="24"/>
            <w:szCs w:val="24"/>
          </w:rPr>
          <w:t>https://www.gov.pl/web/5g/aktualnosci2</w:t>
        </w:r>
      </w:hyperlink>
      <w:r>
        <w:rPr>
          <w:rFonts w:ascii="Calibri" w:hAnsi="Calibri" w:cs="Calibri"/>
          <w:sz w:val="24"/>
          <w:szCs w:val="24"/>
        </w:rPr>
        <w:t xml:space="preserve">. Współpraca w obszarze badań monitoringu stacjonarnego PEM pomiędzy </w:t>
      </w:r>
      <w:r>
        <w:rPr>
          <w:rFonts w:ascii="Calibri" w:hAnsi="Calibri" w:cs="Calibri"/>
          <w:i/>
          <w:sz w:val="24"/>
          <w:szCs w:val="24"/>
        </w:rPr>
        <w:t>Urzędem</w:t>
      </w:r>
      <w:r>
        <w:rPr>
          <w:rFonts w:ascii="Calibri" w:hAnsi="Calibri" w:cs="Calibri"/>
          <w:sz w:val="24"/>
          <w:szCs w:val="24"/>
        </w:rPr>
        <w:t>, a </w:t>
      </w:r>
      <w:r>
        <w:rPr>
          <w:rFonts w:ascii="Calibri" w:hAnsi="Calibri" w:cs="Calibri"/>
          <w:i/>
          <w:sz w:val="24"/>
          <w:szCs w:val="24"/>
        </w:rPr>
        <w:t xml:space="preserve">Instytutem </w:t>
      </w:r>
      <w:r>
        <w:rPr>
          <w:rFonts w:ascii="Calibri" w:hAnsi="Calibri" w:cs="Calibri"/>
          <w:sz w:val="24"/>
          <w:szCs w:val="24"/>
        </w:rPr>
        <w:t xml:space="preserve">będzie realizowana na mocy niniejszej umowy. </w:t>
      </w:r>
    </w:p>
    <w:p w14:paraId="71AE39EA" w14:textId="77777777" w:rsidR="008B6711" w:rsidRDefault="008B6711" w:rsidP="008B6711">
      <w:pPr>
        <w:spacing w:before="60"/>
        <w:ind w:left="42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Poniżej zostały przedstawione podstawowe informacje na temat stacji monitorujących szerokopasmowych i selektywnych stanowiących </w:t>
      </w:r>
      <w:r>
        <w:rPr>
          <w:rFonts w:ascii="Calibri" w:hAnsi="Calibri" w:cs="Calibri"/>
          <w:i/>
          <w:sz w:val="24"/>
          <w:szCs w:val="24"/>
        </w:rPr>
        <w:t>zestawy pomiarowe</w:t>
      </w:r>
      <w:r>
        <w:rPr>
          <w:rFonts w:ascii="Calibri" w:hAnsi="Calibri" w:cs="Calibri"/>
          <w:sz w:val="24"/>
          <w:szCs w:val="24"/>
        </w:rPr>
        <w:t xml:space="preserve"> oraz na temat wyboru miejsc ich instalacji.</w:t>
      </w:r>
    </w:p>
    <w:p w14:paraId="43F0C709" w14:textId="77777777" w:rsidR="008B6711" w:rsidRDefault="008B6711" w:rsidP="008B6711">
      <w:pPr>
        <w:spacing w:before="60"/>
        <w:ind w:left="42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07107605" w14:textId="77777777" w:rsidR="008B6711" w:rsidRDefault="008B6711" w:rsidP="008B6711">
      <w:pPr>
        <w:spacing w:before="60"/>
        <w:ind w:left="425"/>
        <w:jc w:val="both"/>
        <w:rPr>
          <w:rFonts w:ascii="Calibri" w:hAnsi="Calibri" w:cs="Calibri"/>
          <w:b/>
          <w:sz w:val="24"/>
          <w:szCs w:val="24"/>
          <w:u w:val="single"/>
        </w:rPr>
      </w:pPr>
      <w:r>
        <w:rPr>
          <w:rFonts w:ascii="Calibri" w:hAnsi="Calibri" w:cs="Calibri"/>
          <w:b/>
          <w:sz w:val="24"/>
          <w:szCs w:val="24"/>
          <w:u w:val="single"/>
        </w:rPr>
        <w:lastRenderedPageBreak/>
        <w:t xml:space="preserve">Szerokopasmowy monitoring stacjonarny pola elektromagnetycznego (SMS PEM) </w:t>
      </w:r>
    </w:p>
    <w:p w14:paraId="1D8C57D0" w14:textId="77777777" w:rsidR="008B6711" w:rsidRDefault="008B6711" w:rsidP="008B6711">
      <w:pPr>
        <w:spacing w:before="60"/>
        <w:ind w:left="425"/>
        <w:jc w:val="both"/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  <w:u w:val="single"/>
        </w:rPr>
        <w:t>Podstawowe informacje o stacji monitorującej AMB-8059-03</w:t>
      </w:r>
    </w:p>
    <w:p w14:paraId="2C1190AB" w14:textId="77777777" w:rsidR="008B6711" w:rsidRDefault="008B6711" w:rsidP="008B6711">
      <w:pPr>
        <w:spacing w:before="60"/>
        <w:ind w:left="42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Stacja monitoringu stacjonarnego firmy Narda </w:t>
      </w:r>
      <w:proofErr w:type="spellStart"/>
      <w:r>
        <w:rPr>
          <w:rFonts w:ascii="Calibri" w:hAnsi="Calibri" w:cs="Calibri"/>
          <w:sz w:val="24"/>
          <w:szCs w:val="24"/>
        </w:rPr>
        <w:t>Safety</w:t>
      </w:r>
      <w:proofErr w:type="spellEnd"/>
      <w:r>
        <w:rPr>
          <w:rFonts w:ascii="Calibri" w:hAnsi="Calibri" w:cs="Calibri"/>
          <w:sz w:val="24"/>
          <w:szCs w:val="24"/>
        </w:rPr>
        <w:t xml:space="preserve"> Test Solutions GmbH </w:t>
      </w:r>
      <w:r>
        <w:rPr>
          <w:rFonts w:ascii="Calibri" w:hAnsi="Calibri" w:cs="Calibri"/>
          <w:sz w:val="24"/>
          <w:szCs w:val="24"/>
        </w:rPr>
        <w:sym w:font="Symbol" w:char="F02D"/>
      </w:r>
      <w:r>
        <w:rPr>
          <w:rFonts w:ascii="Calibri" w:hAnsi="Calibri" w:cs="Calibri"/>
          <w:sz w:val="24"/>
          <w:szCs w:val="24"/>
        </w:rPr>
        <w:t xml:space="preserve"> model AMB</w:t>
      </w:r>
      <w:r>
        <w:rPr>
          <w:rStyle w:val="Pogrubienie"/>
          <w:rFonts w:ascii="Calibri" w:hAnsi="Calibri" w:cs="Calibri"/>
          <w:color w:val="000000"/>
          <w:sz w:val="24"/>
          <w:szCs w:val="24"/>
        </w:rPr>
        <w:t>-8059-03 z dołączoną sondą pomiarową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bCs/>
          <w:sz w:val="24"/>
          <w:szCs w:val="24"/>
        </w:rPr>
        <w:t xml:space="preserve">model EP-1B-06 </w:t>
      </w:r>
      <w:r>
        <w:rPr>
          <w:rFonts w:ascii="Calibri" w:hAnsi="Calibri" w:cs="Calibri"/>
          <w:sz w:val="24"/>
          <w:szCs w:val="24"/>
        </w:rPr>
        <w:sym w:font="Symbol" w:char="F02D"/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Cs/>
          <w:sz w:val="24"/>
          <w:szCs w:val="24"/>
        </w:rPr>
        <w:t>to urządzenie umożliwiające ciągłą, szerokopasmową rejestrację natężenia pola elektromagnetycznego</w:t>
      </w:r>
      <w:r>
        <w:rPr>
          <w:rFonts w:ascii="Calibri" w:hAnsi="Calibri" w:cs="Calibri"/>
          <w:sz w:val="24"/>
          <w:szCs w:val="24"/>
        </w:rPr>
        <w:t xml:space="preserve"> w zakresie częstotliwości od 300 kHz do 40 GHz. Uzyskane wyniki pomiarów dają możliwość, w przeciwieństwie do wyników klasycznych chwilowych pomiarów pola elektromagnetycznego (PEM), dokonania obserwacji zmian wartości PEM w dowolnym czasie z okresu obserwacji. Ponadto stacja monitoringu rejestruje cały szereg danych (innych niż wartość natężenia PEM), które mogą być użyteczne podczas późniejszej interpretacji wyników. </w:t>
      </w:r>
    </w:p>
    <w:p w14:paraId="38E7BC40" w14:textId="3CFE8C7C" w:rsidR="008B6711" w:rsidRDefault="008B6711" w:rsidP="008B6711">
      <w:pPr>
        <w:spacing w:before="60" w:after="0" w:line="240" w:lineRule="auto"/>
        <w:ind w:left="425"/>
        <w:jc w:val="both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8E86001" wp14:editId="4D0E69D2">
            <wp:simplePos x="0" y="0"/>
            <wp:positionH relativeFrom="column">
              <wp:posOffset>276225</wp:posOffset>
            </wp:positionH>
            <wp:positionV relativeFrom="paragraph">
              <wp:posOffset>35560</wp:posOffset>
            </wp:positionV>
            <wp:extent cx="807720" cy="2219960"/>
            <wp:effectExtent l="0" t="0" r="0" b="8890"/>
            <wp:wrapTight wrapText="bothSides">
              <wp:wrapPolygon edited="0">
                <wp:start x="0" y="0"/>
                <wp:lineTo x="0" y="21501"/>
                <wp:lineTo x="20887" y="21501"/>
                <wp:lineTo x="20887" y="0"/>
                <wp:lineTo x="0" y="0"/>
              </wp:wrapPolygon>
            </wp:wrapTight>
            <wp:docPr id="25651266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221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sz w:val="24"/>
          <w:szCs w:val="24"/>
        </w:rPr>
        <w:t xml:space="preserve">Stacja monitorująca, wraz z dedykowaną konstrukcją wsporczą (stojak z obciążnikami i rurą), to urządzenie o niewielkiej wadze – około 8 kg. Sama stacja waży około 2 kg, a jej wymiary pozwalają na wygodny transport samochodem osobowym. </w:t>
      </w:r>
    </w:p>
    <w:p w14:paraId="2D2DABB5" w14:textId="77777777" w:rsidR="008B6711" w:rsidRDefault="008B6711" w:rsidP="008B6711">
      <w:pPr>
        <w:spacing w:before="60" w:after="0" w:line="240" w:lineRule="auto"/>
        <w:ind w:left="425"/>
        <w:jc w:val="both"/>
        <w:rPr>
          <w:rFonts w:ascii="Calibri" w:hAnsi="Calibri" w:cs="Calibri"/>
          <w:sz w:val="24"/>
          <w:szCs w:val="24"/>
        </w:rPr>
      </w:pPr>
      <w:r>
        <w:rPr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Stacja monitoringu dostarczona do prowadzenia badań SMS PEM będzie: </w:t>
      </w:r>
    </w:p>
    <w:p w14:paraId="4C210B08" w14:textId="77777777" w:rsidR="008B6711" w:rsidRDefault="008B6711" w:rsidP="008B6711">
      <w:pPr>
        <w:pStyle w:val="Akapitzlist"/>
        <w:numPr>
          <w:ilvl w:val="0"/>
          <w:numId w:val="2"/>
        </w:numPr>
        <w:spacing w:before="60" w:after="0" w:line="240" w:lineRule="auto"/>
        <w:ind w:left="1418" w:hanging="1134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odpowiednio skonfigurowana do autonomicznego i bezobsługowego pomiaru, rejestracji i przekazywania danych do serwera w siedzibie Instytutu;</w:t>
      </w:r>
    </w:p>
    <w:p w14:paraId="2AB1084D" w14:textId="77777777" w:rsidR="008B6711" w:rsidRDefault="008B6711" w:rsidP="008B6711">
      <w:pPr>
        <w:pStyle w:val="Akapitzlist"/>
        <w:numPr>
          <w:ilvl w:val="0"/>
          <w:numId w:val="2"/>
        </w:numPr>
        <w:spacing w:before="60" w:after="0" w:line="240" w:lineRule="auto"/>
        <w:ind w:left="1418" w:hanging="1134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wyposażona w kartę SIM umożliwiającą transmisję danych w sieci komórkowej;</w:t>
      </w:r>
    </w:p>
    <w:p w14:paraId="64983601" w14:textId="77777777" w:rsidR="008B6711" w:rsidRDefault="008B6711" w:rsidP="008B6711">
      <w:pPr>
        <w:pStyle w:val="Akapitzlist"/>
        <w:numPr>
          <w:ilvl w:val="0"/>
          <w:numId w:val="2"/>
        </w:numPr>
        <w:spacing w:before="60" w:after="0" w:line="240" w:lineRule="auto"/>
        <w:ind w:left="1418" w:hanging="1134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samowystarczalna – przygotowana do ładowania wbudowanego akumulatora za pomocą zintegrowanego ogniwa fotowoltaicznego.</w:t>
      </w:r>
    </w:p>
    <w:p w14:paraId="3E5CC1DE" w14:textId="77777777" w:rsidR="008B6711" w:rsidRDefault="008B6711" w:rsidP="008B6711">
      <w:pPr>
        <w:keepNext/>
        <w:spacing w:before="60"/>
        <w:ind w:left="425"/>
        <w:jc w:val="both"/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  <w:u w:val="single"/>
        </w:rPr>
        <w:t>Wybór miejsca instalacji stacji monitorującej</w:t>
      </w:r>
    </w:p>
    <w:p w14:paraId="07864502" w14:textId="77777777" w:rsidR="008B6711" w:rsidRDefault="008B6711" w:rsidP="008B6711">
      <w:pPr>
        <w:spacing w:before="60" w:after="60" w:line="240" w:lineRule="auto"/>
        <w:ind w:left="42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Aby stacjonarny monitoring PEM spełniał jak najwięcej oczekiwań obywateli, lokalizacje przeznaczone do zainstalowania stacji monitorujących powinny być wskazywane przez </w:t>
      </w:r>
      <w:r>
        <w:rPr>
          <w:rFonts w:ascii="Calibri" w:hAnsi="Calibri" w:cs="Calibri"/>
          <w:i/>
          <w:sz w:val="24"/>
          <w:szCs w:val="24"/>
        </w:rPr>
        <w:t>Urząd</w:t>
      </w:r>
      <w:r>
        <w:rPr>
          <w:rFonts w:ascii="Calibri" w:hAnsi="Calibri" w:cs="Calibri"/>
          <w:sz w:val="24"/>
          <w:szCs w:val="24"/>
        </w:rPr>
        <w:t xml:space="preserve">. </w:t>
      </w:r>
    </w:p>
    <w:p w14:paraId="45120BA8" w14:textId="77777777" w:rsidR="008B6711" w:rsidRDefault="008B6711" w:rsidP="008B6711">
      <w:pPr>
        <w:spacing w:before="60" w:after="60" w:line="240" w:lineRule="auto"/>
        <w:ind w:left="42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Wskazując miejsce instalacji stacji monitorującej należy uwzględniać następujące czynniki:</w:t>
      </w:r>
    </w:p>
    <w:p w14:paraId="60561322" w14:textId="77777777" w:rsidR="008B6711" w:rsidRDefault="008B6711" w:rsidP="008B6711">
      <w:pPr>
        <w:pStyle w:val="Akapitzlist"/>
        <w:numPr>
          <w:ilvl w:val="0"/>
          <w:numId w:val="3"/>
        </w:numPr>
        <w:tabs>
          <w:tab w:val="num" w:pos="1428"/>
        </w:tabs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lokalizacja powinna być reprezentatywna</w:t>
      </w:r>
      <w:r>
        <w:rPr>
          <w:rFonts w:ascii="Calibri" w:hAnsi="Calibri" w:cs="Calibri"/>
          <w:bCs/>
          <w:sz w:val="24"/>
          <w:szCs w:val="24"/>
        </w:rPr>
        <w:t>:</w:t>
      </w:r>
    </w:p>
    <w:p w14:paraId="6128D6CB" w14:textId="77777777" w:rsidR="008B6711" w:rsidRDefault="008B6711" w:rsidP="008B6711">
      <w:pPr>
        <w:pStyle w:val="Akapitzlist"/>
        <w:numPr>
          <w:ilvl w:val="1"/>
          <w:numId w:val="3"/>
        </w:numPr>
        <w:tabs>
          <w:tab w:val="num" w:pos="1134"/>
        </w:tabs>
        <w:spacing w:after="0" w:line="240" w:lineRule="auto"/>
        <w:ind w:left="1134" w:hanging="283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miejsce pomiarów powinno oddawać faktyczne warunki, w których mogą najczęściej przebywać ludzie (np. </w:t>
      </w:r>
      <w:r>
        <w:rPr>
          <w:rFonts w:ascii="Calibri" w:hAnsi="Calibri" w:cs="Calibri"/>
          <w:sz w:val="24"/>
          <w:szCs w:val="24"/>
        </w:rPr>
        <w:t>sąsiedztwo instytucji publicznych, obszary z dużymi skupiskami ludności lub miejsca publiczne, znajdujące się w pobliżu wielu źródeł pola elektromagnetycznego</w:t>
      </w:r>
      <w:r>
        <w:rPr>
          <w:rFonts w:ascii="Calibri" w:hAnsi="Calibri" w:cs="Calibri"/>
          <w:bCs/>
          <w:sz w:val="24"/>
          <w:szCs w:val="24"/>
        </w:rPr>
        <w:t>);</w:t>
      </w:r>
    </w:p>
    <w:p w14:paraId="76C5029C" w14:textId="77777777" w:rsidR="008B6711" w:rsidRDefault="008B6711" w:rsidP="008B6711">
      <w:pPr>
        <w:pStyle w:val="Akapitzlist"/>
        <w:numPr>
          <w:ilvl w:val="1"/>
          <w:numId w:val="3"/>
        </w:numPr>
        <w:tabs>
          <w:tab w:val="num" w:pos="1134"/>
        </w:tabs>
        <w:spacing w:after="0" w:line="240" w:lineRule="auto"/>
        <w:ind w:left="1134" w:hanging="283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kierując się uzyskaniem potencjalnie najwyższych poziomów PEM należy wybierać w miarę możliwości lokalizacje z bezpośrednią widocznością anten SBTK, unikając drzew, zabudowy, czy innych elementów infrastruktury, przesłaniających widoczność anten;</w:t>
      </w:r>
    </w:p>
    <w:p w14:paraId="7F0204D7" w14:textId="77777777" w:rsidR="008B6711" w:rsidRDefault="008B6711" w:rsidP="008B6711">
      <w:pPr>
        <w:pStyle w:val="Akapitzlist"/>
        <w:numPr>
          <w:ilvl w:val="1"/>
          <w:numId w:val="3"/>
        </w:numPr>
        <w:tabs>
          <w:tab w:val="num" w:pos="1134"/>
        </w:tabs>
        <w:spacing w:after="0" w:line="240" w:lineRule="auto"/>
        <w:ind w:left="1134" w:hanging="283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należy uwzględniać miejsca </w:t>
      </w:r>
      <w:r>
        <w:rPr>
          <w:rFonts w:ascii="Calibri" w:hAnsi="Calibri" w:cs="Calibri"/>
          <w:sz w:val="24"/>
          <w:szCs w:val="24"/>
        </w:rPr>
        <w:t>o szczególnym znaczeniu (np. placówki edukacyjne, żłobki, szpitale, urzędy);</w:t>
      </w:r>
    </w:p>
    <w:p w14:paraId="0B80BB26" w14:textId="77777777" w:rsidR="008B6711" w:rsidRDefault="008B6711" w:rsidP="008B6711">
      <w:pPr>
        <w:pStyle w:val="Akapitzlist"/>
        <w:numPr>
          <w:ilvl w:val="1"/>
          <w:numId w:val="3"/>
        </w:numPr>
        <w:tabs>
          <w:tab w:val="num" w:pos="1134"/>
        </w:tabs>
        <w:spacing w:after="0" w:line="240" w:lineRule="auto"/>
        <w:ind w:left="1134" w:hanging="283"/>
        <w:jc w:val="both"/>
        <w:rPr>
          <w:rStyle w:val="Pogrubienie"/>
          <w:b w:val="0"/>
          <w:bCs w:val="0"/>
        </w:rPr>
      </w:pPr>
      <w:r>
        <w:rPr>
          <w:rFonts w:ascii="Calibri" w:hAnsi="Calibri" w:cs="Calibri"/>
          <w:bCs/>
          <w:sz w:val="24"/>
          <w:szCs w:val="24"/>
        </w:rPr>
        <w:t xml:space="preserve">aby rozkład PEM nie był zaburzony nie należy umieszczać stacji monitorującej w pobliżu </w:t>
      </w:r>
      <w:r>
        <w:rPr>
          <w:rFonts w:ascii="Calibri" w:hAnsi="Calibri" w:cs="Calibri"/>
          <w:sz w:val="24"/>
          <w:szCs w:val="24"/>
        </w:rPr>
        <w:t>dużych metalowych przedmiotów</w:t>
      </w:r>
      <w:r>
        <w:rPr>
          <w:rFonts w:ascii="Calibri" w:hAnsi="Calibri" w:cs="Calibri"/>
          <w:bCs/>
          <w:sz w:val="24"/>
          <w:szCs w:val="24"/>
        </w:rPr>
        <w:t>;</w:t>
      </w:r>
    </w:p>
    <w:p w14:paraId="64984AD6" w14:textId="77777777" w:rsidR="008B6711" w:rsidRDefault="008B6711" w:rsidP="008B6711">
      <w:pPr>
        <w:pStyle w:val="Akapitzlist"/>
        <w:numPr>
          <w:ilvl w:val="0"/>
          <w:numId w:val="3"/>
        </w:numPr>
        <w:tabs>
          <w:tab w:val="num" w:pos="1428"/>
        </w:tabs>
        <w:spacing w:after="0" w:line="240" w:lineRule="auto"/>
        <w:jc w:val="both"/>
        <w:rPr>
          <w:bCs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lastRenderedPageBreak/>
        <w:t>lokalizacja powinna być bezpieczna</w:t>
      </w:r>
      <w:r>
        <w:rPr>
          <w:rFonts w:ascii="Calibri" w:hAnsi="Calibri" w:cs="Calibri"/>
          <w:b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Cs/>
          <w:sz w:val="24"/>
          <w:szCs w:val="24"/>
        </w:rPr>
        <w:t>– miejsce pomiarów powinno gwarantować, że stacja monitorująca nie zostanie uszkodzona, zniszczona lub skradziona (np. na dachu budynku lub w pomieszczeniu biurowym).</w:t>
      </w:r>
    </w:p>
    <w:p w14:paraId="417BF020" w14:textId="77777777" w:rsidR="008B6711" w:rsidRDefault="008B6711" w:rsidP="008B6711">
      <w:pPr>
        <w:spacing w:before="60"/>
        <w:ind w:left="42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Wskazując lokalizację należy brać pod uwagę także:</w:t>
      </w:r>
    </w:p>
    <w:p w14:paraId="4AB7C32E" w14:textId="77777777" w:rsidR="008B6711" w:rsidRDefault="008B6711" w:rsidP="008B6711">
      <w:pPr>
        <w:pStyle w:val="Akapitzlist"/>
        <w:numPr>
          <w:ilvl w:val="0"/>
          <w:numId w:val="3"/>
        </w:numPr>
        <w:tabs>
          <w:tab w:val="num" w:pos="1428"/>
        </w:tabs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dostępność i jakość usługi transmisji danych w miejscu instalacji stacji;</w:t>
      </w:r>
    </w:p>
    <w:p w14:paraId="06C7A776" w14:textId="77777777" w:rsidR="008B6711" w:rsidRDefault="008B6711" w:rsidP="008B6711">
      <w:pPr>
        <w:pStyle w:val="Akapitzlist"/>
        <w:numPr>
          <w:ilvl w:val="0"/>
          <w:numId w:val="3"/>
        </w:numPr>
        <w:tabs>
          <w:tab w:val="num" w:pos="1428"/>
        </w:tabs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duże nasłonecznienie miejsca instalacji (unikanie lokalizacji zacienionych), z możliwością skierowania panelu słonecznego na południe.</w:t>
      </w:r>
    </w:p>
    <w:p w14:paraId="347014FD" w14:textId="5E9BBAAE" w:rsidR="008B6711" w:rsidRDefault="008B6711" w:rsidP="008B6711">
      <w:pPr>
        <w:spacing w:before="60"/>
        <w:ind w:left="42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  <w:lang w:eastAsia="pl-PL"/>
        </w:rPr>
        <w:drawing>
          <wp:inline distT="0" distB="0" distL="0" distR="0" wp14:anchorId="47CB1776" wp14:editId="543DB6D4">
            <wp:extent cx="1476375" cy="1924050"/>
            <wp:effectExtent l="0" t="0" r="9525" b="0"/>
            <wp:docPr id="93444737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noProof/>
          <w:lang w:eastAsia="pl-PL"/>
        </w:rPr>
        <w:drawing>
          <wp:inline distT="0" distB="0" distL="0" distR="0" wp14:anchorId="554FF071" wp14:editId="649EF607">
            <wp:extent cx="2133600" cy="1905000"/>
            <wp:effectExtent l="0" t="0" r="0" b="0"/>
            <wp:docPr id="1035867904" name="Obraz 5" descr="Zdjęcie pokazuje miejsce instalacji stacji monitorującej na dachu lokalizacji Dom Kultury &quot;Krzemień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Zdjęcie pokazuje miejsce instalacji stacji monitorującej na dachu lokalizacji Dom Kultury &quot;Krzemień&quot;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24" b="17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noProof/>
          <w:lang w:eastAsia="pl-PL"/>
        </w:rPr>
        <w:drawing>
          <wp:inline distT="0" distB="0" distL="0" distR="0" wp14:anchorId="76C81270" wp14:editId="0FD7B8E5">
            <wp:extent cx="1590675" cy="1885950"/>
            <wp:effectExtent l="0" t="0" r="9525" b="0"/>
            <wp:docPr id="604246106" name="Obraz 4" descr="Zdjęcie pokazuje miejsce instalacji stacji monitorującej na balkonie budynku Zesołu Szkół nr 5 w Bydgoszc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Zdjęcie pokazuje miejsce instalacji stacji monitorującej na balkonie budynku Zesołu Szkół nr 5 w Bydgoszcz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5" b="16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4"/>
          <w:szCs w:val="24"/>
        </w:rPr>
        <w:t xml:space="preserve"> </w:t>
      </w:r>
    </w:p>
    <w:p w14:paraId="4AE1ED73" w14:textId="77777777" w:rsidR="008B6711" w:rsidRDefault="008B6711" w:rsidP="008B6711">
      <w:pPr>
        <w:spacing w:before="60"/>
        <w:ind w:left="42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Przykłady instalacji stacji monitorującej szerokopasmowej</w:t>
      </w:r>
    </w:p>
    <w:p w14:paraId="585F2FD0" w14:textId="77777777" w:rsidR="008B6711" w:rsidRDefault="008B6711" w:rsidP="008B6711">
      <w:pPr>
        <w:spacing w:before="60"/>
        <w:ind w:left="42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56BA3300" w14:textId="77777777" w:rsidR="008B6711" w:rsidRDefault="008B6711" w:rsidP="008B6711">
      <w:pPr>
        <w:spacing w:before="60"/>
        <w:ind w:left="567" w:hanging="142"/>
        <w:jc w:val="both"/>
        <w:rPr>
          <w:rFonts w:ascii="Calibri" w:hAnsi="Calibri" w:cs="Calibri"/>
          <w:b/>
          <w:sz w:val="24"/>
          <w:szCs w:val="24"/>
          <w:u w:val="single"/>
        </w:rPr>
      </w:pPr>
      <w:r>
        <w:rPr>
          <w:rFonts w:ascii="Calibri" w:hAnsi="Calibri" w:cs="Calibri"/>
          <w:b/>
          <w:sz w:val="24"/>
          <w:szCs w:val="24"/>
          <w:u w:val="single"/>
        </w:rPr>
        <w:lastRenderedPageBreak/>
        <w:t xml:space="preserve">Selektywny monitoring stacjonarny pola elektromagnetycznego (SELMS PEM) </w:t>
      </w:r>
    </w:p>
    <w:p w14:paraId="40436B2E" w14:textId="77777777" w:rsidR="008B6711" w:rsidRDefault="008B6711" w:rsidP="008B6711">
      <w:pPr>
        <w:spacing w:before="60"/>
        <w:ind w:left="425"/>
        <w:jc w:val="both"/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  <w:u w:val="single"/>
        </w:rPr>
        <w:t>Podstawowe informacje o stacji monitorującej AMS-8061</w:t>
      </w:r>
    </w:p>
    <w:p w14:paraId="757397ED" w14:textId="77777777" w:rsidR="008B6711" w:rsidRDefault="008B6711" w:rsidP="008B6711">
      <w:pPr>
        <w:spacing w:before="60"/>
        <w:ind w:left="42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Stacja monitoringu stacjonarnego model AMS</w:t>
      </w:r>
      <w:r>
        <w:rPr>
          <w:sz w:val="24"/>
          <w:szCs w:val="24"/>
        </w:rPr>
        <w:t xml:space="preserve">-8061, </w:t>
      </w:r>
      <w:r>
        <w:rPr>
          <w:rFonts w:ascii="Calibri" w:hAnsi="Calibri" w:cs="Calibri"/>
          <w:sz w:val="24"/>
          <w:szCs w:val="24"/>
        </w:rPr>
        <w:t xml:space="preserve">firmy </w:t>
      </w:r>
      <w:proofErr w:type="spellStart"/>
      <w:r>
        <w:rPr>
          <w:rFonts w:ascii="Calibri" w:hAnsi="Calibri" w:cs="Calibri"/>
          <w:sz w:val="24"/>
          <w:szCs w:val="24"/>
        </w:rPr>
        <w:t>Safety</w:t>
      </w:r>
      <w:proofErr w:type="spellEnd"/>
      <w:r>
        <w:rPr>
          <w:rFonts w:ascii="Calibri" w:hAnsi="Calibri" w:cs="Calibri"/>
          <w:sz w:val="24"/>
          <w:szCs w:val="24"/>
        </w:rPr>
        <w:t xml:space="preserve"> Test Solutions GmbH</w:t>
      </w:r>
      <w:r>
        <w:rPr>
          <w:sz w:val="24"/>
          <w:szCs w:val="24"/>
        </w:rPr>
        <w:t>, z dołączoną sondą pomiarową</w:t>
      </w:r>
      <w:r>
        <w:rPr>
          <w:rFonts w:ascii="Calibri" w:hAnsi="Calibri" w:cs="Calibri"/>
          <w:sz w:val="24"/>
          <w:szCs w:val="24"/>
        </w:rPr>
        <w:t xml:space="preserve"> model EHA-2B-01 - to urządzenie umożliwiające ciągłą, selektywną rejestrację natężenia pola elektromagnetycznego w zakresie częstotliwości od 100 kHz do 6 GHz. Uzyskane wyniki pomiarów dają możliwość, w przeciwieństwie do wyników klasycznych chwilowych pomiarów PEM, dokonania obserwacji zmian wartości PEM w dowolnym czasie z okresu obserwacji, pozwalają na jednoznaczną identyfikację częstotliwości oraz wartości składowych. Ponadto stacja monitoringu rejestruje cały szereg danych (innych niż wartość natężenia PEM), które mogą być użyteczne podczas późniejszej interpretacji wyników. </w:t>
      </w:r>
    </w:p>
    <w:p w14:paraId="6E986597" w14:textId="167F0B78" w:rsidR="008B6711" w:rsidRDefault="008B6711" w:rsidP="008B6711">
      <w:pPr>
        <w:spacing w:before="60" w:after="0" w:line="240" w:lineRule="auto"/>
        <w:ind w:left="425"/>
        <w:jc w:val="both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5B7D09F" wp14:editId="571D34CA">
            <wp:simplePos x="0" y="0"/>
            <wp:positionH relativeFrom="column">
              <wp:posOffset>248285</wp:posOffset>
            </wp:positionH>
            <wp:positionV relativeFrom="paragraph">
              <wp:posOffset>10160</wp:posOffset>
            </wp:positionV>
            <wp:extent cx="1585595" cy="2945130"/>
            <wp:effectExtent l="0" t="0" r="0" b="7620"/>
            <wp:wrapTight wrapText="bothSides">
              <wp:wrapPolygon edited="0">
                <wp:start x="0" y="0"/>
                <wp:lineTo x="0" y="21516"/>
                <wp:lineTo x="21280" y="21516"/>
                <wp:lineTo x="21280" y="0"/>
                <wp:lineTo x="0" y="0"/>
              </wp:wrapPolygon>
            </wp:wrapTight>
            <wp:docPr id="77594071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sz w:val="24"/>
          <w:szCs w:val="24"/>
        </w:rPr>
        <w:t xml:space="preserve">Stacja monitorująca z dołączoną sondą pomiarową, wraz z dedykowaną konstrukcją wsporczą oraz panelem słonecznym, to urządzenie o wadze około 35 kg. Waga, konstrukcja oraz wymiary (1480 mm × 1100 mm × 715 mm) skompletowanej stacji warunkują możliwość instalacji w wybranej lokalizacji. </w:t>
      </w:r>
    </w:p>
    <w:p w14:paraId="677E53DB" w14:textId="77777777" w:rsidR="008B6711" w:rsidRDefault="008B6711" w:rsidP="008B6711">
      <w:pPr>
        <w:spacing w:after="0" w:line="240" w:lineRule="auto"/>
        <w:ind w:left="42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Stacja monitoringu dostarczona do prowadzenia badań SELMS PEM będzie: </w:t>
      </w:r>
    </w:p>
    <w:p w14:paraId="7463D817" w14:textId="77777777" w:rsidR="008B6711" w:rsidRDefault="008B6711" w:rsidP="008B6711">
      <w:pPr>
        <w:pStyle w:val="Akapitzlist"/>
        <w:numPr>
          <w:ilvl w:val="2"/>
          <w:numId w:val="4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odpowiednio skonfigurowana do autonomicznego i bezobsługowego pomiaru, rejestracji i przekazywania danych do serwera w siedzibie Instytutu;</w:t>
      </w:r>
    </w:p>
    <w:p w14:paraId="3565DAE6" w14:textId="77777777" w:rsidR="008B6711" w:rsidRDefault="008B6711" w:rsidP="008B6711">
      <w:pPr>
        <w:pStyle w:val="Akapitzlist"/>
        <w:numPr>
          <w:ilvl w:val="2"/>
          <w:numId w:val="4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wyposażona w kartę SIM umożliwiającą transmisję danych w sieci komórkowej;</w:t>
      </w:r>
    </w:p>
    <w:p w14:paraId="1F8B7CCD" w14:textId="77777777" w:rsidR="008B6711" w:rsidRDefault="008B6711" w:rsidP="008B6711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samowystarczalna – przygotowana do ładowania wbudowanego akumulatora za pomocą zintegrowanego ogniwa fotowoltaicznego.</w:t>
      </w:r>
    </w:p>
    <w:p w14:paraId="453F96BE" w14:textId="77777777" w:rsidR="008B6711" w:rsidRDefault="008B6711" w:rsidP="008B6711">
      <w:pPr>
        <w:spacing w:before="240"/>
        <w:ind w:left="425"/>
        <w:jc w:val="both"/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  <w:u w:val="single"/>
        </w:rPr>
        <w:t>Wybór miejsca instalacji stacji monitorującej</w:t>
      </w:r>
    </w:p>
    <w:p w14:paraId="3386E1CC" w14:textId="77777777" w:rsidR="008B6711" w:rsidRDefault="008B6711" w:rsidP="008B6711">
      <w:pPr>
        <w:spacing w:before="60" w:after="60" w:line="240" w:lineRule="auto"/>
        <w:ind w:left="42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Aby selektywny stacjonarny monitoring PEM spełniał jak najwięcej oczekiwań obywateli, lokalizacje przeznaczone do zainstalowania stacji monitorujących powinny być wskazywane przez </w:t>
      </w:r>
      <w:r>
        <w:rPr>
          <w:rFonts w:ascii="Calibri" w:hAnsi="Calibri" w:cs="Calibri"/>
          <w:i/>
          <w:sz w:val="24"/>
          <w:szCs w:val="24"/>
        </w:rPr>
        <w:t>Urząd</w:t>
      </w:r>
      <w:r>
        <w:rPr>
          <w:rFonts w:ascii="Calibri" w:hAnsi="Calibri" w:cs="Calibri"/>
          <w:sz w:val="24"/>
          <w:szCs w:val="24"/>
        </w:rPr>
        <w:t xml:space="preserve">. </w:t>
      </w:r>
    </w:p>
    <w:p w14:paraId="589122BA" w14:textId="77777777" w:rsidR="008B6711" w:rsidRDefault="008B6711" w:rsidP="008B6711">
      <w:pPr>
        <w:spacing w:before="60" w:after="60" w:line="240" w:lineRule="auto"/>
        <w:ind w:left="42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Wskazując miejsce instalacji stacji monitorującej należy uwzględniać następujące czynniki:</w:t>
      </w:r>
    </w:p>
    <w:p w14:paraId="52EE2EAF" w14:textId="77777777" w:rsidR="008B6711" w:rsidRDefault="008B6711" w:rsidP="008B6711">
      <w:pPr>
        <w:pStyle w:val="Akapitzlist"/>
        <w:numPr>
          <w:ilvl w:val="0"/>
          <w:numId w:val="3"/>
        </w:numPr>
        <w:tabs>
          <w:tab w:val="clear" w:pos="785"/>
          <w:tab w:val="num" w:pos="1068"/>
          <w:tab w:val="num" w:pos="1428"/>
        </w:tabs>
        <w:spacing w:after="0" w:line="240" w:lineRule="auto"/>
        <w:ind w:left="1068"/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lokalizacja powinna być reprezentatywna</w:t>
      </w:r>
      <w:r>
        <w:rPr>
          <w:rFonts w:ascii="Calibri" w:hAnsi="Calibri" w:cs="Calibri"/>
          <w:bCs/>
          <w:sz w:val="24"/>
          <w:szCs w:val="24"/>
          <w:u w:val="single"/>
        </w:rPr>
        <w:t>:</w:t>
      </w:r>
    </w:p>
    <w:p w14:paraId="1681C5BF" w14:textId="77777777" w:rsidR="008B6711" w:rsidRDefault="008B6711" w:rsidP="008B6711">
      <w:pPr>
        <w:pStyle w:val="Akapitzlist"/>
        <w:numPr>
          <w:ilvl w:val="1"/>
          <w:numId w:val="3"/>
        </w:numPr>
        <w:tabs>
          <w:tab w:val="clear" w:pos="1505"/>
          <w:tab w:val="num" w:pos="1560"/>
        </w:tabs>
        <w:spacing w:after="0" w:line="240" w:lineRule="auto"/>
        <w:ind w:left="1576" w:hanging="51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miejsce pomiarów powinno oddawać faktyczne warunki, w których mogą najczęściej przebywać ludzie (np. </w:t>
      </w:r>
      <w:r>
        <w:rPr>
          <w:rFonts w:ascii="Calibri" w:hAnsi="Calibri" w:cs="Calibri"/>
          <w:sz w:val="24"/>
          <w:szCs w:val="24"/>
        </w:rPr>
        <w:t>sąsiedztwo instytucji publicznych, obszary z dużymi skupiskami ludności lub miejsca publiczne, znajdujące się w pobliżu wielu źródeł pola elektromagnetycznego</w:t>
      </w:r>
      <w:r>
        <w:rPr>
          <w:rFonts w:ascii="Calibri" w:hAnsi="Calibri" w:cs="Calibri"/>
          <w:bCs/>
          <w:sz w:val="24"/>
          <w:szCs w:val="24"/>
        </w:rPr>
        <w:t>);</w:t>
      </w:r>
    </w:p>
    <w:p w14:paraId="0B8BDF85" w14:textId="77777777" w:rsidR="008B6711" w:rsidRDefault="008B6711" w:rsidP="008B6711">
      <w:pPr>
        <w:pStyle w:val="Akapitzlist"/>
        <w:numPr>
          <w:ilvl w:val="1"/>
          <w:numId w:val="3"/>
        </w:numPr>
        <w:tabs>
          <w:tab w:val="clear" w:pos="1505"/>
          <w:tab w:val="num" w:pos="1560"/>
        </w:tabs>
        <w:spacing w:after="0" w:line="240" w:lineRule="auto"/>
        <w:ind w:left="1576" w:hanging="51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kierując się uzyskaniem potencjalnie najwyższych poziomów PEM należy wybierać w miarę możliwości lokalizacje z bezpośrednią widocznością anten SBTK, unikając drzew, zabudowy, czy innych elementów infrastruktury, przesłaniających widoczność anten;</w:t>
      </w:r>
    </w:p>
    <w:p w14:paraId="100AAE76" w14:textId="77777777" w:rsidR="008B6711" w:rsidRDefault="008B6711" w:rsidP="008B6711">
      <w:pPr>
        <w:pStyle w:val="Akapitzlist"/>
        <w:numPr>
          <w:ilvl w:val="1"/>
          <w:numId w:val="3"/>
        </w:numPr>
        <w:tabs>
          <w:tab w:val="clear" w:pos="1505"/>
          <w:tab w:val="num" w:pos="1560"/>
        </w:tabs>
        <w:spacing w:after="0" w:line="240" w:lineRule="auto"/>
        <w:ind w:left="1576" w:hanging="51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lastRenderedPageBreak/>
        <w:t xml:space="preserve">należy uwzględniać miejsca </w:t>
      </w:r>
      <w:r>
        <w:rPr>
          <w:rFonts w:ascii="Calibri" w:hAnsi="Calibri" w:cs="Calibri"/>
          <w:sz w:val="24"/>
          <w:szCs w:val="24"/>
        </w:rPr>
        <w:t>o szczególnym znaczeniu (np. placówki edukacyjne, żłobki, szpitale);</w:t>
      </w:r>
    </w:p>
    <w:p w14:paraId="04D3A0BD" w14:textId="77777777" w:rsidR="008B6711" w:rsidRDefault="008B6711" w:rsidP="008B6711">
      <w:pPr>
        <w:pStyle w:val="Akapitzlist"/>
        <w:numPr>
          <w:ilvl w:val="1"/>
          <w:numId w:val="3"/>
        </w:numPr>
        <w:tabs>
          <w:tab w:val="clear" w:pos="1505"/>
          <w:tab w:val="num" w:pos="1560"/>
        </w:tabs>
        <w:spacing w:after="0" w:line="240" w:lineRule="auto"/>
        <w:ind w:left="1576" w:hanging="510"/>
        <w:rPr>
          <w:rStyle w:val="Pogrubienie"/>
          <w:b w:val="0"/>
          <w:bCs w:val="0"/>
        </w:rPr>
      </w:pPr>
      <w:r>
        <w:rPr>
          <w:rFonts w:ascii="Calibri" w:hAnsi="Calibri" w:cs="Calibri"/>
          <w:bCs/>
          <w:sz w:val="24"/>
          <w:szCs w:val="24"/>
        </w:rPr>
        <w:t xml:space="preserve">aby rozkład PEM nie był zaburzony nie należy umieszczać sondy pomiarowej w pobliżu </w:t>
      </w:r>
      <w:r>
        <w:rPr>
          <w:rFonts w:ascii="Calibri" w:hAnsi="Calibri" w:cs="Calibri"/>
          <w:sz w:val="24"/>
          <w:szCs w:val="24"/>
        </w:rPr>
        <w:t>dużych metalowych przedmiotów</w:t>
      </w:r>
      <w:r>
        <w:rPr>
          <w:rFonts w:ascii="Calibri" w:hAnsi="Calibri" w:cs="Calibri"/>
          <w:bCs/>
          <w:sz w:val="24"/>
          <w:szCs w:val="24"/>
        </w:rPr>
        <w:t>;</w:t>
      </w:r>
    </w:p>
    <w:p w14:paraId="45CA2B28" w14:textId="77777777" w:rsidR="008B6711" w:rsidRDefault="008B6711" w:rsidP="008B6711">
      <w:pPr>
        <w:pStyle w:val="Akapitzlist"/>
        <w:numPr>
          <w:ilvl w:val="0"/>
          <w:numId w:val="3"/>
        </w:numPr>
        <w:tabs>
          <w:tab w:val="clear" w:pos="785"/>
          <w:tab w:val="num" w:pos="1068"/>
          <w:tab w:val="num" w:pos="1428"/>
        </w:tabs>
        <w:spacing w:after="0" w:line="240" w:lineRule="auto"/>
        <w:ind w:left="1068"/>
        <w:rPr>
          <w:color w:val="000000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lokalizacja powinna być bezpieczna</w:t>
      </w:r>
      <w:r>
        <w:rPr>
          <w:rFonts w:ascii="Calibri" w:hAnsi="Calibri" w:cs="Calibri"/>
          <w:bCs/>
          <w:sz w:val="24"/>
          <w:szCs w:val="24"/>
        </w:rPr>
        <w:t xml:space="preserve"> – miejsce pomiarów powinno gwarantować, że urządzenie nie zostanie uszkodzone, zniszczone lub skradzione;</w:t>
      </w:r>
    </w:p>
    <w:p w14:paraId="77E675B8" w14:textId="77777777" w:rsidR="008B6711" w:rsidRDefault="008B6711" w:rsidP="008B6711">
      <w:pPr>
        <w:pStyle w:val="Akapitzlist"/>
        <w:numPr>
          <w:ilvl w:val="0"/>
          <w:numId w:val="3"/>
        </w:numPr>
        <w:tabs>
          <w:tab w:val="clear" w:pos="785"/>
          <w:tab w:val="num" w:pos="1068"/>
          <w:tab w:val="num" w:pos="1428"/>
        </w:tabs>
        <w:spacing w:after="0" w:line="240" w:lineRule="auto"/>
        <w:ind w:left="1068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lokalizacja powinna być dostępna na potrzeby instalacji stacji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bCs/>
          <w:sz w:val="24"/>
          <w:szCs w:val="24"/>
        </w:rPr>
        <w:t xml:space="preserve">– miejsce pomiarów powinno uwzględniać konieczność przetransportowania stosunkowo ciężkiego </w:t>
      </w:r>
      <w:r>
        <w:rPr>
          <w:rFonts w:ascii="Calibri" w:hAnsi="Calibri" w:cs="Calibri"/>
          <w:bCs/>
          <w:i/>
          <w:sz w:val="24"/>
          <w:szCs w:val="24"/>
        </w:rPr>
        <w:t xml:space="preserve">zestawu pomiarowego </w:t>
      </w:r>
      <w:r>
        <w:rPr>
          <w:rFonts w:ascii="Calibri" w:hAnsi="Calibri" w:cs="Calibri"/>
          <w:bCs/>
          <w:sz w:val="24"/>
          <w:szCs w:val="24"/>
        </w:rPr>
        <w:t>(blisko 35 kg) o znacznych wymiarach.</w:t>
      </w:r>
    </w:p>
    <w:p w14:paraId="5F3F0C07" w14:textId="77777777" w:rsidR="008B6711" w:rsidRDefault="008B6711" w:rsidP="008B6711">
      <w:pPr>
        <w:spacing w:before="60"/>
        <w:ind w:left="42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Wskazując lokalizację należy brać pod uwagę także:</w:t>
      </w:r>
    </w:p>
    <w:p w14:paraId="10BD4FDF" w14:textId="77777777" w:rsidR="008B6711" w:rsidRDefault="008B6711" w:rsidP="008B6711">
      <w:pPr>
        <w:pStyle w:val="Akapitzlist"/>
        <w:numPr>
          <w:ilvl w:val="0"/>
          <w:numId w:val="3"/>
        </w:numPr>
        <w:tabs>
          <w:tab w:val="clear" w:pos="785"/>
          <w:tab w:val="num" w:pos="1068"/>
          <w:tab w:val="num" w:pos="1428"/>
        </w:tabs>
        <w:spacing w:after="0" w:line="240" w:lineRule="auto"/>
        <w:ind w:left="1068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dostępność i jakość usługi transmisji danych w miejscu instalacji stacji;</w:t>
      </w:r>
    </w:p>
    <w:p w14:paraId="49ADE3FF" w14:textId="77777777" w:rsidR="008B6711" w:rsidRDefault="008B6711" w:rsidP="008B6711">
      <w:pPr>
        <w:pStyle w:val="Akapitzlist"/>
        <w:numPr>
          <w:ilvl w:val="0"/>
          <w:numId w:val="3"/>
        </w:numPr>
        <w:tabs>
          <w:tab w:val="clear" w:pos="785"/>
          <w:tab w:val="num" w:pos="1068"/>
          <w:tab w:val="num" w:pos="1428"/>
        </w:tabs>
        <w:spacing w:after="0" w:line="240" w:lineRule="auto"/>
        <w:ind w:left="1068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duże nasłonecznienie miejsca instalacji (unikanie lokalizacji zacienionych), z możliwością skierowania panelu słonecznego na południe.</w:t>
      </w:r>
    </w:p>
    <w:p w14:paraId="2F107A24" w14:textId="10A8EB06" w:rsidR="008B6711" w:rsidRDefault="008B6711" w:rsidP="008B6711">
      <w:pPr>
        <w:spacing w:before="60"/>
        <w:ind w:left="425" w:right="-142"/>
        <w:jc w:val="both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74784866" wp14:editId="04B00C87">
            <wp:extent cx="1828800" cy="1371600"/>
            <wp:effectExtent l="0" t="0" r="0" b="0"/>
            <wp:docPr id="752956096" name="Obraz 3" descr="Zdjęcie przedstawia miejsce instalacji selektywnej stacji monitorującej na dachu budynku UD Wilan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djęcie przedstawia miejsce instalacji selektywnej stacji monitorującej na dachu budynku UD Wilanów.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pl-PL"/>
        </w:rPr>
        <w:t xml:space="preserve"> </w:t>
      </w:r>
      <w:r>
        <w:rPr>
          <w:rFonts w:ascii="Calibri" w:hAnsi="Calibri" w:cs="Calibri"/>
          <w:noProof/>
          <w:lang w:eastAsia="pl-PL"/>
        </w:rPr>
        <w:drawing>
          <wp:inline distT="0" distB="0" distL="0" distR="0" wp14:anchorId="457E58AE" wp14:editId="538EDD5F">
            <wp:extent cx="1866900" cy="1419225"/>
            <wp:effectExtent l="0" t="0" r="0" b="9525"/>
            <wp:docPr id="254672515" name="Obraz 2" descr="Zdjęcie przedstawia miejsce instalacji stacji monitorującej w lokalizacji Z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Zdjęcie przedstawia miejsce instalacji stacji monitorującej w lokalizacji ZO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1" t="-1508" b="11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pl-PL"/>
        </w:rPr>
        <w:t xml:space="preserve"> </w:t>
      </w:r>
      <w:r>
        <w:rPr>
          <w:rFonts w:ascii="Calibri" w:hAnsi="Calibri" w:cs="Calibri"/>
          <w:noProof/>
          <w:lang w:eastAsia="pl-PL"/>
        </w:rPr>
        <w:drawing>
          <wp:inline distT="0" distB="0" distL="0" distR="0" wp14:anchorId="1B1CED25" wp14:editId="6BF8CC79">
            <wp:extent cx="1800225" cy="1400175"/>
            <wp:effectExtent l="0" t="0" r="9525" b="9525"/>
            <wp:docPr id="1131889602" name="Obraz 1" descr="Zdjęcie przedstawia miejsce instalacji stacji monitorującej na dachu budynku Szkoły Podstawowej nr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Zdjęcie przedstawia miejsce instalacji stacji monitorującej na dachu budynku Szkoły Podstawowej nr 40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6" t="21890" r="2711" b="6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A7C04" w14:textId="77777777" w:rsidR="008B6711" w:rsidRDefault="008B6711" w:rsidP="008B6711">
      <w:pPr>
        <w:spacing w:before="60"/>
        <w:ind w:left="42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Przykłady instalacji stacji monitorującej szerokopasmowej</w:t>
      </w:r>
    </w:p>
    <w:p w14:paraId="38DE40F8" w14:textId="77777777" w:rsidR="0056290E" w:rsidRDefault="0056290E"/>
    <w:sectPr w:rsidR="005629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547B97"/>
    <w:multiLevelType w:val="multilevel"/>
    <w:tmpl w:val="3988872E"/>
    <w:lvl w:ilvl="0">
      <w:start w:val="1"/>
      <w:numFmt w:val="bullet"/>
      <w:lvlText w:val="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D0149F"/>
    <w:multiLevelType w:val="hybridMultilevel"/>
    <w:tmpl w:val="AEB83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025120"/>
    <w:multiLevelType w:val="hybridMultilevel"/>
    <w:tmpl w:val="7B4EDFD4"/>
    <w:lvl w:ilvl="0" w:tplc="0415000F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50E85E42">
      <w:start w:val="1"/>
      <w:numFmt w:val="bullet"/>
      <w:lvlText w:val=""/>
      <w:lvlJc w:val="left"/>
      <w:pPr>
        <w:ind w:left="1080" w:hanging="360"/>
      </w:pPr>
      <w:rPr>
        <w:rFonts w:ascii="Wingdings" w:hAnsi="Wingdings" w:hint="default"/>
        <w:color w:val="FF6600"/>
      </w:rPr>
    </w:lvl>
    <w:lvl w:ilvl="2" w:tplc="AEEC3CB6">
      <w:start w:val="1"/>
      <w:numFmt w:val="bullet"/>
      <w:lvlText w:val=""/>
      <w:lvlJc w:val="left"/>
      <w:pPr>
        <w:ind w:left="1800" w:hanging="180"/>
      </w:pPr>
      <w:rPr>
        <w:rFonts w:ascii="Wingdings" w:hAnsi="Wingdings" w:hint="default"/>
        <w:color w:val="ED7D31" w:themeColor="accent2"/>
      </w:r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B9D7DC4"/>
    <w:multiLevelType w:val="hybridMultilevel"/>
    <w:tmpl w:val="4EAECE86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 w16cid:durableId="986667591">
    <w:abstractNumId w:val="2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6456855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02008398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399519177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711"/>
    <w:rsid w:val="003A4615"/>
    <w:rsid w:val="0056290E"/>
    <w:rsid w:val="008B6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59EAE"/>
  <w15:chartTrackingRefBased/>
  <w15:docId w15:val="{04D2C447-4910-4A50-BD5F-61264DCF9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6711"/>
    <w:pPr>
      <w:spacing w:line="25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B6711"/>
    <w:rPr>
      <w:color w:val="0563C1"/>
      <w:u w:val="single"/>
    </w:rPr>
  </w:style>
  <w:style w:type="character" w:customStyle="1" w:styleId="AkapitzlistZnak">
    <w:name w:val="Akapit z listą Znak"/>
    <w:aliases w:val="L1 Znak,Numerowanie Znak,List Paragraph Znak,Normalny PDST Znak,lp1 Znak,Preambuła Znak,HŁ_Bullet1 Znak"/>
    <w:link w:val="Akapitzlist"/>
    <w:uiPriority w:val="34"/>
    <w:locked/>
    <w:rsid w:val="008B6711"/>
  </w:style>
  <w:style w:type="paragraph" w:styleId="Akapitzlist">
    <w:name w:val="List Paragraph"/>
    <w:aliases w:val="L1,Numerowanie,List Paragraph,Normalny PDST,lp1,Preambuła,HŁ_Bullet1"/>
    <w:basedOn w:val="Normalny"/>
    <w:link w:val="AkapitzlistZnak"/>
    <w:uiPriority w:val="34"/>
    <w:qFormat/>
    <w:rsid w:val="008B6711"/>
    <w:pPr>
      <w:ind w:left="720"/>
      <w:contextualSpacing/>
    </w:pPr>
    <w:rPr>
      <w:kern w:val="2"/>
      <w14:ligatures w14:val="standardContextual"/>
    </w:rPr>
  </w:style>
  <w:style w:type="character" w:customStyle="1" w:styleId="Teksttreci">
    <w:name w:val="Tekst treści_"/>
    <w:basedOn w:val="Domylnaczcionkaakapitu"/>
    <w:link w:val="Teksttreci0"/>
    <w:uiPriority w:val="99"/>
    <w:locked/>
    <w:rsid w:val="008B6711"/>
    <w:rPr>
      <w:rFonts w:ascii="Calibri" w:hAnsi="Calibri" w:cs="Calibri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8B6711"/>
    <w:pPr>
      <w:widowControl w:val="0"/>
      <w:shd w:val="clear" w:color="auto" w:fill="FFFFFF"/>
      <w:spacing w:after="0" w:line="240" w:lineRule="auto"/>
      <w:jc w:val="both"/>
    </w:pPr>
    <w:rPr>
      <w:rFonts w:ascii="Calibri" w:hAnsi="Calibri" w:cs="Calibri"/>
      <w:kern w:val="2"/>
      <w14:ligatures w14:val="standardContextual"/>
    </w:rPr>
  </w:style>
  <w:style w:type="character" w:styleId="Pogrubienie">
    <w:name w:val="Strong"/>
    <w:basedOn w:val="Domylnaczcionkaakapitu"/>
    <w:uiPriority w:val="22"/>
    <w:qFormat/>
    <w:rsid w:val="008B67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28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s://scontent.fpoz1-1.fna.fbcdn.net/v/t1.15752-9/258855916_966689843946941_7675758442051411508_n.jpg?_nc_cat=103&amp;ccb=1-5&amp;_nc_sid=ae9488&amp;_nc_ohc=1lXeYro8YL8AX99fWf2&amp;_nc_ht=scontent.fpoz1-1.fna&amp;oh=26040041f916c3b0abc2c0f9b9494c78&amp;oe=61BFD5B7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1254</Words>
  <Characters>7530</Characters>
  <Application>Microsoft Office Word</Application>
  <DocSecurity>0</DocSecurity>
  <Lines>62</Lines>
  <Paragraphs>17</Paragraphs>
  <ScaleCrop>false</ScaleCrop>
  <Company/>
  <LinksUpToDate>false</LinksUpToDate>
  <CharactersWithSpaces>8767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Polatowska</dc:creator>
  <cp:keywords/>
  <dc:description/>
  <cp:lastModifiedBy>Aleksandra Polatowska</cp:lastModifiedBy>
  <cp:revision>1</cp:revision>
  <dcterms:created xsi:type="dcterms:W3CDTF">2024-02-13T08:51:00Z</dcterms:created>
  <dcterms:modified xsi:type="dcterms:W3CDTF">2024-02-13T08:52:00Z</dcterms:modified>
</cp:coreProperties>
</file>