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1C65" w14:textId="37310CC7" w:rsidR="003D5B90" w:rsidRPr="008B55C6" w:rsidRDefault="0017266D" w:rsidP="00177F94">
      <w:pPr>
        <w:spacing w:line="360" w:lineRule="auto"/>
        <w:rPr>
          <w:rFonts w:ascii="Arial" w:hAnsi="Arial" w:cs="Arial"/>
        </w:rPr>
      </w:pPr>
      <w:r w:rsidRPr="008B55C6">
        <w:rPr>
          <w:rFonts w:ascii="Arial" w:hAnsi="Arial" w:cs="Arial"/>
        </w:rPr>
        <w:t xml:space="preserve">Włocławek, 20 czerwca 2024 r. </w:t>
      </w:r>
    </w:p>
    <w:p w14:paraId="7EA215B8" w14:textId="77777777" w:rsidR="003D5B90" w:rsidRPr="008B55C6" w:rsidRDefault="003D5B90" w:rsidP="00177F94">
      <w:pPr>
        <w:spacing w:line="360" w:lineRule="auto"/>
        <w:rPr>
          <w:rFonts w:ascii="Arial" w:hAnsi="Arial" w:cs="Arial"/>
        </w:rPr>
      </w:pPr>
      <w:r w:rsidRPr="008B55C6">
        <w:rPr>
          <w:rFonts w:ascii="Arial" w:hAnsi="Arial" w:cs="Arial"/>
        </w:rPr>
        <w:t>S.6220.4.2024</w:t>
      </w:r>
    </w:p>
    <w:p w14:paraId="468654DB" w14:textId="77777777" w:rsidR="0017266D" w:rsidRPr="008B55C6" w:rsidRDefault="0017266D" w:rsidP="00177F94">
      <w:pPr>
        <w:spacing w:line="360" w:lineRule="auto"/>
        <w:rPr>
          <w:rFonts w:ascii="Arial" w:hAnsi="Arial" w:cs="Arial"/>
          <w:b/>
        </w:rPr>
      </w:pPr>
    </w:p>
    <w:p w14:paraId="4180F52C" w14:textId="78663B2C" w:rsidR="003D5B90" w:rsidRPr="008B55C6" w:rsidRDefault="003D5B90" w:rsidP="008B55C6">
      <w:pPr>
        <w:pStyle w:val="Nagwek1"/>
      </w:pPr>
      <w:r w:rsidRPr="008B55C6">
        <w:t>Decyzja</w:t>
      </w:r>
      <w:r w:rsidR="0017266D" w:rsidRPr="008B55C6">
        <w:t xml:space="preserve"> </w:t>
      </w:r>
      <w:r w:rsidRPr="008B55C6">
        <w:t xml:space="preserve">o środowiskowych uwarunkowaniach </w:t>
      </w:r>
    </w:p>
    <w:p w14:paraId="0B4A833C" w14:textId="77777777" w:rsidR="003D5B90" w:rsidRPr="008B55C6" w:rsidRDefault="003D5B90" w:rsidP="00177F94">
      <w:pPr>
        <w:spacing w:line="360" w:lineRule="auto"/>
        <w:rPr>
          <w:rFonts w:ascii="Arial" w:hAnsi="Arial" w:cs="Arial"/>
        </w:rPr>
      </w:pPr>
    </w:p>
    <w:p w14:paraId="44995E00" w14:textId="61814394" w:rsidR="003D5B90" w:rsidRPr="008B55C6" w:rsidRDefault="003D5B90" w:rsidP="00177F94">
      <w:pPr>
        <w:spacing w:line="360" w:lineRule="auto"/>
        <w:rPr>
          <w:rFonts w:ascii="Arial" w:hAnsi="Arial" w:cs="Arial"/>
        </w:rPr>
      </w:pPr>
      <w:r w:rsidRPr="008B55C6">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2023 r., poz. 1094 ze zm.), w związku z art. 104 ustawy z dnia 14 czerwca 1960 r. Kodeks postępowania administracyjnego (Dz. U. 2024 r., poz. 572 j.t.), a także § 3 ust. 1 pkt 1 w związku z § 2 ust. 1 pkt 3 rozporządzenia Rady Ministrów z dnia 10 września 2019 r. w sprawie przedsięwzięć mogących znacząco oddziaływać na środowisko (Dz. U. z 2019 r., poz. 1839 j.t.), po rozpatrzeniu wniosku ANWIL S.A. ul. Toruńska 222, 87- 800 Włocławek reprezentowanego przez pełnomocników Pana Krzysztofa </w:t>
      </w:r>
      <w:proofErr w:type="spellStart"/>
      <w:r w:rsidRPr="008B55C6">
        <w:rPr>
          <w:rFonts w:ascii="Arial" w:hAnsi="Arial" w:cs="Arial"/>
        </w:rPr>
        <w:t>Madaj</w:t>
      </w:r>
      <w:proofErr w:type="spellEnd"/>
      <w:r w:rsidRPr="008B55C6">
        <w:rPr>
          <w:rFonts w:ascii="Arial" w:hAnsi="Arial" w:cs="Arial"/>
        </w:rPr>
        <w:t xml:space="preserve"> i Panią Klarę </w:t>
      </w:r>
      <w:proofErr w:type="spellStart"/>
      <w:r w:rsidRPr="008B55C6">
        <w:rPr>
          <w:rFonts w:ascii="Arial" w:hAnsi="Arial" w:cs="Arial"/>
        </w:rPr>
        <w:t>Kanderską</w:t>
      </w:r>
      <w:proofErr w:type="spellEnd"/>
      <w:r w:rsidRPr="008B55C6">
        <w:rPr>
          <w:rFonts w:ascii="Arial" w:hAnsi="Arial" w:cs="Arial"/>
        </w:rPr>
        <w:t xml:space="preserve"> </w:t>
      </w:r>
    </w:p>
    <w:p w14:paraId="4AB81199" w14:textId="77777777" w:rsidR="003D5B90" w:rsidRPr="008B55C6" w:rsidRDefault="003D5B90" w:rsidP="00177F94">
      <w:pPr>
        <w:spacing w:line="360" w:lineRule="auto"/>
        <w:rPr>
          <w:rFonts w:ascii="Arial" w:hAnsi="Arial" w:cs="Arial"/>
        </w:rPr>
      </w:pPr>
      <w:r w:rsidRPr="008B55C6">
        <w:rPr>
          <w:rFonts w:ascii="Arial" w:hAnsi="Arial" w:cs="Arial"/>
        </w:rPr>
        <w:t xml:space="preserve"> </w:t>
      </w:r>
    </w:p>
    <w:p w14:paraId="1287EE21" w14:textId="77777777" w:rsidR="003D5B90" w:rsidRPr="008B55C6" w:rsidRDefault="003D5B90" w:rsidP="00177F94">
      <w:pPr>
        <w:spacing w:line="360" w:lineRule="auto"/>
        <w:rPr>
          <w:rFonts w:ascii="Arial" w:hAnsi="Arial" w:cs="Arial"/>
          <w:b/>
        </w:rPr>
      </w:pPr>
      <w:r w:rsidRPr="008B55C6">
        <w:rPr>
          <w:rFonts w:ascii="Arial" w:hAnsi="Arial" w:cs="Arial"/>
          <w:b/>
        </w:rPr>
        <w:t>orzekam</w:t>
      </w:r>
    </w:p>
    <w:p w14:paraId="03C72FC6" w14:textId="77777777" w:rsidR="003D5B90" w:rsidRPr="008B55C6" w:rsidRDefault="003D5B90" w:rsidP="00177F94">
      <w:pPr>
        <w:spacing w:line="360" w:lineRule="auto"/>
        <w:rPr>
          <w:rFonts w:ascii="Arial" w:hAnsi="Arial" w:cs="Arial"/>
          <w:b/>
        </w:rPr>
      </w:pPr>
    </w:p>
    <w:p w14:paraId="0B8072DC" w14:textId="77777777" w:rsidR="003D5B90" w:rsidRPr="008B55C6" w:rsidRDefault="003D5B90" w:rsidP="00177F94">
      <w:pPr>
        <w:pStyle w:val="Akapitzlist"/>
        <w:numPr>
          <w:ilvl w:val="0"/>
          <w:numId w:val="1"/>
        </w:numPr>
        <w:autoSpaceDE w:val="0"/>
        <w:autoSpaceDN w:val="0"/>
        <w:adjustRightInd w:val="0"/>
        <w:spacing w:line="360" w:lineRule="auto"/>
        <w:ind w:left="284" w:hanging="284"/>
        <w:rPr>
          <w:rFonts w:ascii="Arial" w:eastAsiaTheme="minorHAnsi" w:hAnsi="Arial" w:cs="Arial"/>
          <w:b/>
          <w:bCs/>
          <w:lang w:eastAsia="en-US"/>
        </w:rPr>
      </w:pPr>
      <w:r w:rsidRPr="008B55C6">
        <w:rPr>
          <w:rFonts w:ascii="Arial" w:hAnsi="Arial" w:cs="Arial"/>
        </w:rPr>
        <w:t>Brak potrzeby przeprowadzenia oceny oddziaływania na środowisko dla przedsięwzięcia pn.:</w:t>
      </w:r>
      <w:r w:rsidRPr="008B55C6">
        <w:rPr>
          <w:rFonts w:ascii="Arial" w:hAnsi="Arial" w:cs="Arial"/>
          <w:b/>
        </w:rPr>
        <w:t xml:space="preserve"> </w:t>
      </w:r>
      <w:r w:rsidRPr="008B55C6">
        <w:rPr>
          <w:rFonts w:ascii="Arial" w:hAnsi="Arial" w:cs="Arial"/>
          <w:b/>
          <w:bCs/>
        </w:rPr>
        <w:t>„</w:t>
      </w:r>
      <w:bookmarkStart w:id="0" w:name="_Hlk156391495"/>
      <w:r w:rsidRPr="008B55C6">
        <w:rPr>
          <w:rFonts w:ascii="Arial" w:eastAsiaTheme="minorHAnsi" w:hAnsi="Arial" w:cs="Arial"/>
          <w:b/>
          <w:bCs/>
          <w:lang w:eastAsia="en-US"/>
        </w:rPr>
        <w:t xml:space="preserve">Budowa </w:t>
      </w:r>
      <w:r w:rsidRPr="008B55C6">
        <w:rPr>
          <w:rFonts w:ascii="Arial" w:hAnsi="Arial" w:cs="Arial"/>
          <w:b/>
          <w:bCs/>
        </w:rPr>
        <w:t>nowego źródła szczytowo – rezerwowego pary KPŚ II na terenie zakładowej elektrociepłowni ANWIL S.A. zlokalizowanej na działkach ewidencyjnych nr 16, 38, 39 obręb 0008 Azoty we Włocławku”.</w:t>
      </w:r>
    </w:p>
    <w:bookmarkEnd w:id="0"/>
    <w:p w14:paraId="59C310AD" w14:textId="77777777" w:rsidR="003D5B90" w:rsidRPr="008B55C6" w:rsidRDefault="003D5B90" w:rsidP="00177F94">
      <w:pPr>
        <w:spacing w:line="360" w:lineRule="auto"/>
        <w:rPr>
          <w:rFonts w:ascii="Arial" w:hAnsi="Arial" w:cs="Arial"/>
        </w:rPr>
      </w:pPr>
    </w:p>
    <w:p w14:paraId="2B63A3E0" w14:textId="77777777" w:rsidR="003D5B90" w:rsidRPr="008B55C6" w:rsidRDefault="003D5B90" w:rsidP="00177F94">
      <w:pPr>
        <w:spacing w:line="360" w:lineRule="auto"/>
        <w:rPr>
          <w:rFonts w:ascii="Arial" w:hAnsi="Arial" w:cs="Arial"/>
        </w:rPr>
      </w:pPr>
      <w:r w:rsidRPr="008B55C6">
        <w:rPr>
          <w:rFonts w:ascii="Arial" w:hAnsi="Arial" w:cs="Arial"/>
        </w:rPr>
        <w:t>II. Zgodnie z treścią art. 64 ust. 3a ustawy o udostępnianiu informacji o środowisku, udziale społeczeństwa w ochronie środowiska oraz o ocenach oddziaływania na środowisko, wskazuję:</w:t>
      </w:r>
    </w:p>
    <w:p w14:paraId="289298DA" w14:textId="77777777" w:rsidR="003D5B90" w:rsidRPr="008B55C6" w:rsidRDefault="003D5B90" w:rsidP="00177F94">
      <w:pPr>
        <w:numPr>
          <w:ilvl w:val="0"/>
          <w:numId w:val="2"/>
        </w:numPr>
        <w:spacing w:line="360" w:lineRule="auto"/>
        <w:rPr>
          <w:rFonts w:ascii="Arial" w:hAnsi="Arial" w:cs="Arial"/>
        </w:rPr>
      </w:pPr>
      <w:r w:rsidRPr="008B55C6">
        <w:rPr>
          <w:rFonts w:ascii="Arial" w:hAnsi="Arial" w:cs="Arial"/>
        </w:rPr>
        <w:t xml:space="preserve">Istotne </w:t>
      </w:r>
      <w:r w:rsidRPr="008B55C6">
        <w:rPr>
          <w:rFonts w:ascii="Arial" w:eastAsia="Andale Sans UI" w:hAnsi="Arial" w:cs="Arial"/>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8B55C6">
        <w:rPr>
          <w:rFonts w:ascii="Arial" w:hAnsi="Arial" w:cs="Arial"/>
        </w:rPr>
        <w:t xml:space="preserve"> nałożone przez Regionalnego Dyrektora Ochrony Środowiska w Bydgoszczy postanowieniem z dnia 22.05.2024 r., znak: WOO.4220.126.2024.AG.4:</w:t>
      </w:r>
    </w:p>
    <w:p w14:paraId="1AFE99D2" w14:textId="77777777" w:rsidR="003D5B90" w:rsidRPr="008B55C6" w:rsidRDefault="003D5B90" w:rsidP="00177F94">
      <w:pPr>
        <w:pStyle w:val="Akapitzlist"/>
        <w:numPr>
          <w:ilvl w:val="0"/>
          <w:numId w:val="3"/>
        </w:numPr>
        <w:spacing w:line="360" w:lineRule="auto"/>
        <w:rPr>
          <w:rFonts w:ascii="Arial" w:hAnsi="Arial" w:cs="Arial"/>
        </w:rPr>
      </w:pPr>
      <w:r w:rsidRPr="008B55C6">
        <w:rPr>
          <w:rFonts w:ascii="Arial" w:hAnsi="Arial" w:cs="Arial"/>
        </w:rPr>
        <w:t xml:space="preserve">Każdorazowo przed podjęciem prac w obrębie wykopów dokonać kontroli obecności zwierząt w ich obrębie. W przypadku obecności </w:t>
      </w:r>
      <w:r w:rsidRPr="008B55C6">
        <w:rPr>
          <w:rFonts w:ascii="Arial" w:hAnsi="Arial" w:cs="Arial"/>
        </w:rPr>
        <w:lastRenderedPageBreak/>
        <w:t>fauny, zwierzę lub zwierzęta odłowić,</w:t>
      </w:r>
      <w:r w:rsidRPr="008B55C6">
        <w:rPr>
          <w:rFonts w:ascii="Arial" w:hAnsi="Arial" w:cs="Arial"/>
        </w:rPr>
        <w:br/>
        <w:t>a następnie przenieść poza obszar robót, do siedliska zapewniającego możliwość dalszej wędrówki.</w:t>
      </w:r>
    </w:p>
    <w:p w14:paraId="345FD0BA" w14:textId="77777777" w:rsidR="003D5B90" w:rsidRPr="008B55C6" w:rsidRDefault="003D5B90" w:rsidP="00177F94">
      <w:pPr>
        <w:pStyle w:val="Akapitzlist"/>
        <w:numPr>
          <w:ilvl w:val="0"/>
          <w:numId w:val="3"/>
        </w:numPr>
        <w:spacing w:line="360" w:lineRule="auto"/>
        <w:rPr>
          <w:rFonts w:ascii="Arial" w:hAnsi="Arial" w:cs="Arial"/>
        </w:rPr>
      </w:pPr>
      <w:r w:rsidRPr="008B55C6">
        <w:rPr>
          <w:rFonts w:ascii="Arial" w:hAnsi="Arial" w:cs="Arial"/>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5AD73554" w14:textId="7F54EBDF" w:rsidR="003D5B90" w:rsidRPr="008B55C6" w:rsidRDefault="003D5B90" w:rsidP="00177F94">
      <w:pPr>
        <w:pStyle w:val="Akapitzlist"/>
        <w:numPr>
          <w:ilvl w:val="0"/>
          <w:numId w:val="3"/>
        </w:numPr>
        <w:spacing w:line="360" w:lineRule="auto"/>
        <w:rPr>
          <w:rFonts w:ascii="Arial" w:hAnsi="Arial" w:cs="Arial"/>
        </w:rPr>
      </w:pPr>
      <w:r w:rsidRPr="008B55C6">
        <w:rPr>
          <w:rFonts w:ascii="Arial" w:hAnsi="Arial" w:cs="Arial"/>
        </w:rPr>
        <w:t xml:space="preserve">W celu minimalizacji i ograniczenia oddziaływań związanych z emisją hałasu, wibracji </w:t>
      </w:r>
      <w:r w:rsidRPr="008B55C6">
        <w:rPr>
          <w:rFonts w:ascii="Arial" w:hAnsi="Arial" w:cs="Arial"/>
        </w:rPr>
        <w:br/>
        <w:t>i zanieczyszczeń do powietrza, uciążliwe prace budowlane (przede wszystkim prace</w:t>
      </w:r>
      <w:r w:rsidR="00177F94" w:rsidRPr="008B55C6">
        <w:rPr>
          <w:rFonts w:ascii="Arial" w:hAnsi="Arial" w:cs="Arial"/>
        </w:rPr>
        <w:t xml:space="preserve"> </w:t>
      </w:r>
      <w:r w:rsidRPr="008B55C6">
        <w:rPr>
          <w:rFonts w:ascii="Arial" w:hAnsi="Arial" w:cs="Arial"/>
        </w:rPr>
        <w:t>hałaśliwe oraz związane z wykorzystywaniem ciężkiego sprzętu/transportu), prowadzić wyłącznie w porze dziennej, tj.: w godz. 6:00 – 22:00.</w:t>
      </w:r>
    </w:p>
    <w:p w14:paraId="0D25B57B" w14:textId="77777777" w:rsidR="003D5B90" w:rsidRPr="008B55C6" w:rsidRDefault="003D5B90" w:rsidP="00177F94">
      <w:pPr>
        <w:spacing w:line="360" w:lineRule="auto"/>
        <w:rPr>
          <w:rFonts w:ascii="Arial" w:hAnsi="Arial" w:cs="Arial"/>
        </w:rPr>
      </w:pPr>
    </w:p>
    <w:p w14:paraId="7AAFDA9D" w14:textId="77777777" w:rsidR="003D5B90" w:rsidRPr="008B55C6" w:rsidRDefault="003D5B90" w:rsidP="00177F94">
      <w:pPr>
        <w:pStyle w:val="Akapitzlist"/>
        <w:numPr>
          <w:ilvl w:val="0"/>
          <w:numId w:val="2"/>
        </w:numPr>
        <w:spacing w:line="360" w:lineRule="auto"/>
        <w:rPr>
          <w:rFonts w:ascii="Arial" w:hAnsi="Arial" w:cs="Arial"/>
        </w:rPr>
      </w:pPr>
      <w:r w:rsidRPr="008B55C6">
        <w:rPr>
          <w:rFonts w:ascii="Arial" w:hAnsi="Arial" w:cs="Arial"/>
        </w:rPr>
        <w:t>Istotne warunki korzystania ze środowiska w fazie realizacji i eksploatacji lub użytkowania przedsięwzięcia oraz obowiązek unikania, zapobiegania i ograniczenia oddziaływania przedsięwzięcia na środowisko nałożone przez Państwowe Gospodarstwo Wodne Wody Polskie Regionalny Zarząd Gospodarki Wodnej w Gdańsku, w opinii z dnia 18.03.2024 r., znak: G.RZŚ.4901.16.2024.WW:</w:t>
      </w:r>
    </w:p>
    <w:p w14:paraId="03EC4AC2" w14:textId="77777777" w:rsidR="00AE18AC" w:rsidRPr="008B55C6" w:rsidRDefault="00AE18AC" w:rsidP="00177F94">
      <w:pPr>
        <w:spacing w:line="360" w:lineRule="auto"/>
        <w:ind w:left="360"/>
        <w:rPr>
          <w:rFonts w:ascii="Arial" w:hAnsi="Arial" w:cs="Arial"/>
          <w:u w:val="single"/>
        </w:rPr>
      </w:pPr>
    </w:p>
    <w:p w14:paraId="4762BC4F" w14:textId="2E40B854" w:rsidR="003D5B90" w:rsidRPr="008B55C6" w:rsidRDefault="003D5B90" w:rsidP="00177F94">
      <w:pPr>
        <w:spacing w:line="360" w:lineRule="auto"/>
        <w:ind w:left="360"/>
        <w:rPr>
          <w:rFonts w:ascii="Arial" w:hAnsi="Arial" w:cs="Arial"/>
          <w:u w:val="single"/>
        </w:rPr>
      </w:pPr>
      <w:r w:rsidRPr="008B55C6">
        <w:rPr>
          <w:rFonts w:ascii="Arial" w:hAnsi="Arial" w:cs="Arial"/>
          <w:u w:val="single"/>
        </w:rPr>
        <w:t xml:space="preserve">Na etapie realizacji i eksploatacji inwestycji: </w:t>
      </w:r>
    </w:p>
    <w:p w14:paraId="31DF0588"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Nie pobierać bezpośrednio wód podziemnych i powierzchniowych.</w:t>
      </w:r>
    </w:p>
    <w:p w14:paraId="53E3FC49"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Wodę pobierać za pośrednictwem centralnego systemu gospodarki wodnej oraz istniejących przyłączy na terenie Zakładu.</w:t>
      </w:r>
    </w:p>
    <w:p w14:paraId="6C525A1A"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Ścieki bytowe odprowadzać wewnętrzną siecią kanalizacji sanitarnej do Węzła Biologicznego Oczyszczania Oczyszczalni Ścieków Przemysłowych ANWIL S.A. </w:t>
      </w:r>
      <w:r w:rsidRPr="008B55C6">
        <w:rPr>
          <w:rFonts w:ascii="Arial" w:hAnsi="Arial" w:cs="Arial"/>
        </w:rPr>
        <w:br/>
        <w:t xml:space="preserve">do zakładowej Oczyszczalni Ścieków Przemysłowych ANWIL S.A. do </w:t>
      </w:r>
      <w:r w:rsidRPr="008B55C6">
        <w:rPr>
          <w:rFonts w:ascii="Arial" w:hAnsi="Arial" w:cs="Arial"/>
        </w:rPr>
        <w:lastRenderedPageBreak/>
        <w:t>zakładowej Oczyszczalni Ścieków Przemysłowych, a następnie podczyszczone kierować wylotem W-1 do odbiornika – rzeki Wisły.</w:t>
      </w:r>
    </w:p>
    <w:p w14:paraId="2E5792A1"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Ścieki przemysłowe odprowadzać wewnętrznym systemem kanalizacji ANWIL S.A. </w:t>
      </w:r>
      <w:r w:rsidRPr="008B55C6">
        <w:rPr>
          <w:rFonts w:ascii="Arial" w:hAnsi="Arial" w:cs="Arial"/>
        </w:rPr>
        <w:br/>
        <w:t xml:space="preserve">do zakładowej Oczyszczalni Ścieków Przemysłowych, a następnie podczyszczone kierować wylotem W-1 do odbiornika -rzeki Wisły. </w:t>
      </w:r>
    </w:p>
    <w:p w14:paraId="70A0F5A4"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Prace budowlane prowadzić ze szczególną ostrożnością, aby wykluczyć zanieczyszczenie środowiska wodno-gruntowego. </w:t>
      </w:r>
    </w:p>
    <w:p w14:paraId="69FC7588"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W całym budynku hali zapewnić szczelną posadzkę.</w:t>
      </w:r>
    </w:p>
    <w:p w14:paraId="1535E469"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Zminimalizować odwodnienie podczas etapu przygotowania fundamentów pod rozbudowę hali – budynku nowej kotłowni.</w:t>
      </w:r>
    </w:p>
    <w:p w14:paraId="4F88493D"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Pojazdy i maszyny utrzymywać w dobrym stanie technicznym, aby zapobiec wyciekom </w:t>
      </w:r>
      <w:r w:rsidRPr="008B55C6">
        <w:rPr>
          <w:rFonts w:ascii="Arial" w:hAnsi="Arial" w:cs="Arial"/>
        </w:rPr>
        <w:br/>
        <w:t>do środowiska wodno-gruntowego.</w:t>
      </w:r>
    </w:p>
    <w:p w14:paraId="3A6E92BC"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Wody opadowe lub roztopowe z utwardzonych powierzchni ciągów komunikacyjnych, placów i dachów obiektów budowlanych, ujmować systemem kanalizacji deszczowej i kierować </w:t>
      </w:r>
      <w:r w:rsidRPr="008B55C6">
        <w:rPr>
          <w:rFonts w:ascii="Arial" w:hAnsi="Arial" w:cs="Arial"/>
        </w:rPr>
        <w:br/>
        <w:t xml:space="preserve">do części </w:t>
      </w:r>
      <w:proofErr w:type="spellStart"/>
      <w:r w:rsidRPr="008B55C6">
        <w:rPr>
          <w:rFonts w:ascii="Arial" w:hAnsi="Arial" w:cs="Arial"/>
        </w:rPr>
        <w:t>mechaniczno</w:t>
      </w:r>
      <w:proofErr w:type="spellEnd"/>
      <w:r w:rsidRPr="008B55C6">
        <w:rPr>
          <w:rFonts w:ascii="Arial" w:hAnsi="Arial" w:cs="Arial"/>
        </w:rPr>
        <w:t xml:space="preserve"> – chemicznej zakładowej Oczyszczalni Ścieków Przemysłowych. </w:t>
      </w:r>
    </w:p>
    <w:p w14:paraId="3F000D84" w14:textId="77777777" w:rsidR="003D5B90" w:rsidRPr="008B55C6" w:rsidRDefault="003D5B90" w:rsidP="00177F94">
      <w:pPr>
        <w:pStyle w:val="Akapitzlist"/>
        <w:numPr>
          <w:ilvl w:val="0"/>
          <w:numId w:val="4"/>
        </w:numPr>
        <w:spacing w:line="360" w:lineRule="auto"/>
        <w:rPr>
          <w:rFonts w:ascii="Arial" w:hAnsi="Arial" w:cs="Arial"/>
        </w:rPr>
      </w:pPr>
      <w:r w:rsidRPr="008B55C6">
        <w:rPr>
          <w:rFonts w:ascii="Arial" w:hAnsi="Arial" w:cs="Arial"/>
        </w:rPr>
        <w:t xml:space="preserve">Odpady powstające w wyniku eksploatacji instalacji selektywnie zbierać do atestowanych, zamykanych pojemników i przekazywać uprawnionym odbiorcom do ponownego zagospodarowania. </w:t>
      </w:r>
    </w:p>
    <w:p w14:paraId="001344EB" w14:textId="77777777" w:rsidR="003D5B90" w:rsidRPr="008B55C6" w:rsidRDefault="003D5B90" w:rsidP="00177F94">
      <w:pPr>
        <w:spacing w:line="360" w:lineRule="auto"/>
        <w:rPr>
          <w:rFonts w:ascii="Arial" w:hAnsi="Arial" w:cs="Arial"/>
        </w:rPr>
      </w:pPr>
    </w:p>
    <w:p w14:paraId="7E47952D" w14:textId="6776C7D2" w:rsidR="003D5B90" w:rsidRPr="008B55C6" w:rsidRDefault="003D5B90" w:rsidP="00177F94">
      <w:pPr>
        <w:pStyle w:val="Akapitzlist"/>
        <w:numPr>
          <w:ilvl w:val="0"/>
          <w:numId w:val="2"/>
        </w:numPr>
        <w:spacing w:line="360" w:lineRule="auto"/>
        <w:rPr>
          <w:rFonts w:ascii="Arial" w:hAnsi="Arial" w:cs="Arial"/>
        </w:rPr>
      </w:pPr>
      <w:r w:rsidRPr="008B55C6">
        <w:rPr>
          <w:rFonts w:ascii="Arial" w:hAnsi="Arial" w:cs="Arial"/>
        </w:rPr>
        <w:t xml:space="preserve">Wymagania dotyczące ochrony środowiska konieczne do uwzględnienia w dokumentacji wymaganej do wydania decyzji, o których mowa w art. 72 ust. 1 </w:t>
      </w:r>
      <w:proofErr w:type="spellStart"/>
      <w:r w:rsidRPr="008B55C6">
        <w:rPr>
          <w:rFonts w:ascii="Arial" w:hAnsi="Arial" w:cs="Arial"/>
        </w:rPr>
        <w:t>uouioś</w:t>
      </w:r>
      <w:proofErr w:type="spellEnd"/>
      <w:r w:rsidRPr="008B55C6">
        <w:rPr>
          <w:rFonts w:ascii="Arial" w:hAnsi="Arial" w:cs="Arial"/>
        </w:rPr>
        <w:t xml:space="preserve">, w szczególności w projekcie zagospodarowania działki lub terenu lub projekcie architektoniczno-budowlanym, w przypadku decyzji, o których mowa w art. 72 ust. 1 pkt 1, 10, 14, 18, 23, 26 i 27 </w:t>
      </w:r>
      <w:proofErr w:type="spellStart"/>
      <w:r w:rsidRPr="008B55C6">
        <w:rPr>
          <w:rFonts w:ascii="Arial" w:hAnsi="Arial" w:cs="Arial"/>
        </w:rPr>
        <w:t>uouioś</w:t>
      </w:r>
      <w:proofErr w:type="spellEnd"/>
      <w:r w:rsidRPr="008B55C6">
        <w:rPr>
          <w:rFonts w:ascii="Arial" w:hAnsi="Arial" w:cs="Arial"/>
        </w:rPr>
        <w:t xml:space="preserve"> nałożone przez Regionalnego Dyrektora Ochrony Środowiska w Bydgoszczy postanowieniem z dnia 22.05.2024 r., znak: WOO.4220.126.2024.AG.4:</w:t>
      </w:r>
    </w:p>
    <w:p w14:paraId="1B32ED31" w14:textId="77777777" w:rsidR="003D5B90" w:rsidRPr="008B55C6" w:rsidRDefault="003D5B90" w:rsidP="00177F94">
      <w:pPr>
        <w:pStyle w:val="Akapitzlist"/>
        <w:numPr>
          <w:ilvl w:val="0"/>
          <w:numId w:val="5"/>
        </w:numPr>
        <w:spacing w:line="360" w:lineRule="auto"/>
        <w:rPr>
          <w:rFonts w:ascii="Arial" w:hAnsi="Arial" w:cs="Arial"/>
        </w:rPr>
      </w:pPr>
      <w:r w:rsidRPr="008B55C6">
        <w:rPr>
          <w:rFonts w:ascii="Arial" w:hAnsi="Arial" w:cs="Arial"/>
        </w:rPr>
        <w:t xml:space="preserve">Spaliny z nowych źródeł odprowadzać emitorami otwartymi o minimalnej wysokości </w:t>
      </w:r>
      <w:r w:rsidRPr="008B55C6">
        <w:rPr>
          <w:rFonts w:ascii="Arial" w:hAnsi="Arial" w:cs="Arial"/>
        </w:rPr>
        <w:br/>
        <w:t>47,3 m oraz maksymalnej średnicy wylotu 1,6 m.</w:t>
      </w:r>
    </w:p>
    <w:p w14:paraId="0BC22C13" w14:textId="77777777" w:rsidR="003D5B90" w:rsidRPr="008B55C6" w:rsidRDefault="003D5B90" w:rsidP="00177F94">
      <w:pPr>
        <w:pStyle w:val="Akapitzlist"/>
        <w:numPr>
          <w:ilvl w:val="0"/>
          <w:numId w:val="5"/>
        </w:numPr>
        <w:spacing w:line="360" w:lineRule="auto"/>
        <w:rPr>
          <w:rFonts w:ascii="Arial" w:hAnsi="Arial" w:cs="Arial"/>
        </w:rPr>
      </w:pPr>
      <w:r w:rsidRPr="008B55C6">
        <w:rPr>
          <w:rFonts w:ascii="Arial" w:hAnsi="Arial" w:cs="Arial"/>
        </w:rPr>
        <w:t>W nowych kotłach zastosować palniki o niskiej emisji NO</w:t>
      </w:r>
      <w:r w:rsidRPr="008B55C6">
        <w:rPr>
          <w:rFonts w:ascii="Arial" w:hAnsi="Arial" w:cs="Arial"/>
          <w:vertAlign w:val="subscript"/>
        </w:rPr>
        <w:t>X</w:t>
      </w:r>
      <w:r w:rsidRPr="008B55C6">
        <w:rPr>
          <w:rFonts w:ascii="Arial" w:hAnsi="Arial" w:cs="Arial"/>
        </w:rPr>
        <w:t>.</w:t>
      </w:r>
    </w:p>
    <w:p w14:paraId="33217C04" w14:textId="77777777" w:rsidR="003D5B90" w:rsidRPr="008B55C6" w:rsidRDefault="003D5B90" w:rsidP="00177F94">
      <w:pPr>
        <w:pStyle w:val="Akapitzlist"/>
        <w:numPr>
          <w:ilvl w:val="0"/>
          <w:numId w:val="5"/>
        </w:numPr>
        <w:spacing w:line="360" w:lineRule="auto"/>
        <w:rPr>
          <w:rFonts w:ascii="Arial" w:hAnsi="Arial" w:cs="Arial"/>
        </w:rPr>
      </w:pPr>
      <w:r w:rsidRPr="008B55C6">
        <w:rPr>
          <w:rFonts w:ascii="Arial" w:hAnsi="Arial" w:cs="Arial"/>
        </w:rPr>
        <w:lastRenderedPageBreak/>
        <w:t>Dopuszcza się maksymalnie następujące stacjonarne nowe źródła hałasu i ich parametry emisji hałasu do środowiska:</w:t>
      </w:r>
    </w:p>
    <w:p w14:paraId="269F7840" w14:textId="77777777" w:rsidR="003D5B90" w:rsidRPr="008B55C6" w:rsidRDefault="003D5B90" w:rsidP="00177F94">
      <w:pPr>
        <w:pStyle w:val="Akapitzlist"/>
        <w:numPr>
          <w:ilvl w:val="0"/>
          <w:numId w:val="6"/>
        </w:numPr>
        <w:spacing w:line="360" w:lineRule="auto"/>
        <w:rPr>
          <w:rFonts w:ascii="Arial" w:hAnsi="Arial" w:cs="Arial"/>
        </w:rPr>
      </w:pPr>
      <w:r w:rsidRPr="008B55C6">
        <w:rPr>
          <w:rFonts w:ascii="Arial" w:hAnsi="Arial" w:cs="Arial"/>
        </w:rPr>
        <w:t>Wszechkierunkowe źródła hałasu:</w:t>
      </w:r>
    </w:p>
    <w:tbl>
      <w:tblPr>
        <w:tblStyle w:val="Tabela-Siatka"/>
        <w:tblW w:w="0" w:type="auto"/>
        <w:tblInd w:w="0" w:type="dxa"/>
        <w:tblLook w:val="04A0" w:firstRow="1" w:lastRow="0" w:firstColumn="1" w:lastColumn="0" w:noHBand="0" w:noVBand="1"/>
      </w:tblPr>
      <w:tblGrid>
        <w:gridCol w:w="1555"/>
        <w:gridCol w:w="3969"/>
        <w:gridCol w:w="3538"/>
      </w:tblGrid>
      <w:tr w:rsidR="003D5B90" w:rsidRPr="008B55C6" w14:paraId="7C93533D"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4ED4FE1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Kod źródła hałasu</w:t>
            </w:r>
          </w:p>
        </w:tc>
        <w:tc>
          <w:tcPr>
            <w:tcW w:w="3969" w:type="dxa"/>
            <w:tcBorders>
              <w:top w:val="single" w:sz="4" w:space="0" w:color="auto"/>
              <w:left w:val="single" w:sz="4" w:space="0" w:color="auto"/>
              <w:bottom w:val="single" w:sz="4" w:space="0" w:color="auto"/>
              <w:right w:val="single" w:sz="4" w:space="0" w:color="auto"/>
            </w:tcBorders>
            <w:hideMark/>
          </w:tcPr>
          <w:p w14:paraId="5C23FC0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Nazwa źródła hałasu</w:t>
            </w:r>
          </w:p>
        </w:tc>
        <w:tc>
          <w:tcPr>
            <w:tcW w:w="3538" w:type="dxa"/>
            <w:tcBorders>
              <w:top w:val="single" w:sz="4" w:space="0" w:color="auto"/>
              <w:left w:val="single" w:sz="4" w:space="0" w:color="auto"/>
              <w:bottom w:val="single" w:sz="4" w:space="0" w:color="auto"/>
              <w:right w:val="single" w:sz="4" w:space="0" w:color="auto"/>
            </w:tcBorders>
            <w:hideMark/>
          </w:tcPr>
          <w:p w14:paraId="6B88DD01"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Maksymalny poziom mocy akustycznej źródła [</w:t>
            </w:r>
            <w:proofErr w:type="spellStart"/>
            <w:r w:rsidRPr="008B55C6">
              <w:rPr>
                <w:rFonts w:ascii="Arial" w:hAnsi="Arial" w:cs="Arial"/>
                <w:sz w:val="20"/>
                <w:szCs w:val="20"/>
                <w:lang w:eastAsia="en-US"/>
              </w:rPr>
              <w:t>dB</w:t>
            </w:r>
            <w:proofErr w:type="spellEnd"/>
            <w:r w:rsidRPr="008B55C6">
              <w:rPr>
                <w:rFonts w:ascii="Arial" w:hAnsi="Arial" w:cs="Arial"/>
                <w:sz w:val="20"/>
                <w:szCs w:val="20"/>
                <w:lang w:eastAsia="en-US"/>
              </w:rPr>
              <w:t>]</w:t>
            </w:r>
          </w:p>
        </w:tc>
      </w:tr>
      <w:tr w:rsidR="003D5B90" w:rsidRPr="008B55C6" w14:paraId="214A73B1"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3AED504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w:t>
            </w:r>
          </w:p>
        </w:tc>
        <w:tc>
          <w:tcPr>
            <w:tcW w:w="3969" w:type="dxa"/>
            <w:tcBorders>
              <w:top w:val="single" w:sz="4" w:space="0" w:color="auto"/>
              <w:left w:val="single" w:sz="4" w:space="0" w:color="auto"/>
              <w:bottom w:val="single" w:sz="4" w:space="0" w:color="auto"/>
              <w:right w:val="single" w:sz="4" w:space="0" w:color="auto"/>
            </w:tcBorders>
            <w:hideMark/>
          </w:tcPr>
          <w:p w14:paraId="3D2EB7F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44558E8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5248641D"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4045172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w:t>
            </w:r>
          </w:p>
        </w:tc>
        <w:tc>
          <w:tcPr>
            <w:tcW w:w="3969" w:type="dxa"/>
            <w:tcBorders>
              <w:top w:val="single" w:sz="4" w:space="0" w:color="auto"/>
              <w:left w:val="single" w:sz="4" w:space="0" w:color="auto"/>
              <w:bottom w:val="single" w:sz="4" w:space="0" w:color="auto"/>
              <w:right w:val="single" w:sz="4" w:space="0" w:color="auto"/>
            </w:tcBorders>
            <w:hideMark/>
          </w:tcPr>
          <w:p w14:paraId="35971D4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014BC16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40BAE802"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3E358D7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ZW3</w:t>
            </w:r>
          </w:p>
        </w:tc>
        <w:tc>
          <w:tcPr>
            <w:tcW w:w="3969" w:type="dxa"/>
            <w:tcBorders>
              <w:top w:val="single" w:sz="4" w:space="0" w:color="auto"/>
              <w:left w:val="single" w:sz="4" w:space="0" w:color="auto"/>
              <w:bottom w:val="single" w:sz="4" w:space="0" w:color="auto"/>
              <w:right w:val="single" w:sz="4" w:space="0" w:color="auto"/>
            </w:tcBorders>
            <w:hideMark/>
          </w:tcPr>
          <w:p w14:paraId="278201B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4189061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7303D69B"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5D637E26"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ZW4</w:t>
            </w:r>
          </w:p>
        </w:tc>
        <w:tc>
          <w:tcPr>
            <w:tcW w:w="3969" w:type="dxa"/>
            <w:tcBorders>
              <w:top w:val="single" w:sz="4" w:space="0" w:color="auto"/>
              <w:left w:val="single" w:sz="4" w:space="0" w:color="auto"/>
              <w:bottom w:val="single" w:sz="4" w:space="0" w:color="auto"/>
              <w:right w:val="single" w:sz="4" w:space="0" w:color="auto"/>
            </w:tcBorders>
            <w:hideMark/>
          </w:tcPr>
          <w:p w14:paraId="4CEB677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7DEC72F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1EBCC812"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754CE6D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ZW5</w:t>
            </w:r>
          </w:p>
        </w:tc>
        <w:tc>
          <w:tcPr>
            <w:tcW w:w="3969" w:type="dxa"/>
            <w:tcBorders>
              <w:top w:val="single" w:sz="4" w:space="0" w:color="auto"/>
              <w:left w:val="single" w:sz="4" w:space="0" w:color="auto"/>
              <w:bottom w:val="single" w:sz="4" w:space="0" w:color="auto"/>
              <w:right w:val="single" w:sz="4" w:space="0" w:color="auto"/>
            </w:tcBorders>
            <w:hideMark/>
          </w:tcPr>
          <w:p w14:paraId="224029D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1292A47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07789670"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4B5415A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ZW6</w:t>
            </w:r>
          </w:p>
        </w:tc>
        <w:tc>
          <w:tcPr>
            <w:tcW w:w="3969" w:type="dxa"/>
            <w:tcBorders>
              <w:top w:val="single" w:sz="4" w:space="0" w:color="auto"/>
              <w:left w:val="single" w:sz="4" w:space="0" w:color="auto"/>
              <w:bottom w:val="single" w:sz="4" w:space="0" w:color="auto"/>
              <w:right w:val="single" w:sz="4" w:space="0" w:color="auto"/>
            </w:tcBorders>
            <w:hideMark/>
          </w:tcPr>
          <w:p w14:paraId="73CFB3E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hali kotłów</w:t>
            </w:r>
          </w:p>
        </w:tc>
        <w:tc>
          <w:tcPr>
            <w:tcW w:w="3538" w:type="dxa"/>
            <w:tcBorders>
              <w:top w:val="single" w:sz="4" w:space="0" w:color="auto"/>
              <w:left w:val="single" w:sz="4" w:space="0" w:color="auto"/>
              <w:bottom w:val="single" w:sz="4" w:space="0" w:color="auto"/>
              <w:right w:val="single" w:sz="4" w:space="0" w:color="auto"/>
            </w:tcBorders>
            <w:hideMark/>
          </w:tcPr>
          <w:p w14:paraId="0236B2D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73</w:t>
            </w:r>
          </w:p>
        </w:tc>
      </w:tr>
      <w:tr w:rsidR="003D5B90" w:rsidRPr="008B55C6" w14:paraId="3DAF6881" w14:textId="77777777" w:rsidTr="003D5B90">
        <w:trPr>
          <w:trHeight w:val="180"/>
        </w:trPr>
        <w:tc>
          <w:tcPr>
            <w:tcW w:w="1555" w:type="dxa"/>
            <w:tcBorders>
              <w:top w:val="single" w:sz="4" w:space="0" w:color="auto"/>
              <w:left w:val="single" w:sz="4" w:space="0" w:color="auto"/>
              <w:bottom w:val="single" w:sz="4" w:space="0" w:color="auto"/>
              <w:right w:val="single" w:sz="4" w:space="0" w:color="auto"/>
            </w:tcBorders>
            <w:hideMark/>
          </w:tcPr>
          <w:p w14:paraId="38300B7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ZW7</w:t>
            </w:r>
          </w:p>
        </w:tc>
        <w:tc>
          <w:tcPr>
            <w:tcW w:w="3969" w:type="dxa"/>
            <w:tcBorders>
              <w:top w:val="single" w:sz="4" w:space="0" w:color="auto"/>
              <w:left w:val="single" w:sz="4" w:space="0" w:color="auto"/>
              <w:bottom w:val="single" w:sz="4" w:space="0" w:color="auto"/>
              <w:right w:val="single" w:sz="4" w:space="0" w:color="auto"/>
            </w:tcBorders>
            <w:hideMark/>
          </w:tcPr>
          <w:p w14:paraId="2635080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 wywiewny z akumulatorami (EX)</w:t>
            </w:r>
          </w:p>
        </w:tc>
        <w:tc>
          <w:tcPr>
            <w:tcW w:w="3538" w:type="dxa"/>
            <w:tcBorders>
              <w:top w:val="single" w:sz="4" w:space="0" w:color="auto"/>
              <w:left w:val="single" w:sz="4" w:space="0" w:color="auto"/>
              <w:bottom w:val="single" w:sz="4" w:space="0" w:color="auto"/>
              <w:right w:val="single" w:sz="4" w:space="0" w:color="auto"/>
            </w:tcBorders>
            <w:hideMark/>
          </w:tcPr>
          <w:p w14:paraId="5B82A2E1"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1D913066" w14:textId="77777777" w:rsidTr="003D5B90">
        <w:trPr>
          <w:trHeight w:val="117"/>
        </w:trPr>
        <w:tc>
          <w:tcPr>
            <w:tcW w:w="1555" w:type="dxa"/>
            <w:tcBorders>
              <w:top w:val="single" w:sz="4" w:space="0" w:color="auto"/>
              <w:left w:val="single" w:sz="4" w:space="0" w:color="auto"/>
              <w:bottom w:val="single" w:sz="4" w:space="0" w:color="auto"/>
              <w:right w:val="single" w:sz="4" w:space="0" w:color="auto"/>
            </w:tcBorders>
            <w:hideMark/>
          </w:tcPr>
          <w:p w14:paraId="0D4903B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ZW8</w:t>
            </w:r>
          </w:p>
        </w:tc>
        <w:tc>
          <w:tcPr>
            <w:tcW w:w="3969" w:type="dxa"/>
            <w:tcBorders>
              <w:top w:val="single" w:sz="4" w:space="0" w:color="auto"/>
              <w:left w:val="single" w:sz="4" w:space="0" w:color="auto"/>
              <w:bottom w:val="single" w:sz="4" w:space="0" w:color="auto"/>
              <w:right w:val="single" w:sz="4" w:space="0" w:color="auto"/>
            </w:tcBorders>
            <w:hideMark/>
          </w:tcPr>
          <w:p w14:paraId="4521528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wentylacyjna (pomieszczenia elektryczne)</w:t>
            </w:r>
          </w:p>
        </w:tc>
        <w:tc>
          <w:tcPr>
            <w:tcW w:w="3538" w:type="dxa"/>
            <w:tcBorders>
              <w:top w:val="single" w:sz="4" w:space="0" w:color="auto"/>
              <w:left w:val="single" w:sz="4" w:space="0" w:color="auto"/>
              <w:bottom w:val="single" w:sz="4" w:space="0" w:color="auto"/>
              <w:right w:val="single" w:sz="4" w:space="0" w:color="auto"/>
            </w:tcBorders>
            <w:hideMark/>
          </w:tcPr>
          <w:p w14:paraId="2A691D2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77</w:t>
            </w:r>
          </w:p>
        </w:tc>
      </w:tr>
      <w:tr w:rsidR="003D5B90" w:rsidRPr="008B55C6" w14:paraId="27B57ECB"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65FA85D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ZW9</w:t>
            </w:r>
          </w:p>
        </w:tc>
        <w:tc>
          <w:tcPr>
            <w:tcW w:w="3969" w:type="dxa"/>
            <w:tcBorders>
              <w:top w:val="single" w:sz="4" w:space="0" w:color="auto"/>
              <w:left w:val="single" w:sz="4" w:space="0" w:color="auto"/>
              <w:bottom w:val="single" w:sz="4" w:space="0" w:color="auto"/>
              <w:right w:val="single" w:sz="4" w:space="0" w:color="auto"/>
            </w:tcBorders>
            <w:hideMark/>
          </w:tcPr>
          <w:p w14:paraId="56EE035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(1)</w:t>
            </w:r>
          </w:p>
        </w:tc>
        <w:tc>
          <w:tcPr>
            <w:tcW w:w="3538" w:type="dxa"/>
            <w:tcBorders>
              <w:top w:val="single" w:sz="4" w:space="0" w:color="auto"/>
              <w:left w:val="single" w:sz="4" w:space="0" w:color="auto"/>
              <w:bottom w:val="single" w:sz="4" w:space="0" w:color="auto"/>
              <w:right w:val="single" w:sz="4" w:space="0" w:color="auto"/>
            </w:tcBorders>
            <w:hideMark/>
          </w:tcPr>
          <w:p w14:paraId="0403FAB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25AB5C93" w14:textId="77777777" w:rsidTr="003D5B90">
        <w:trPr>
          <w:trHeight w:val="117"/>
        </w:trPr>
        <w:tc>
          <w:tcPr>
            <w:tcW w:w="1555" w:type="dxa"/>
            <w:tcBorders>
              <w:top w:val="single" w:sz="4" w:space="0" w:color="auto"/>
              <w:left w:val="single" w:sz="4" w:space="0" w:color="auto"/>
              <w:bottom w:val="single" w:sz="4" w:space="0" w:color="auto"/>
              <w:right w:val="single" w:sz="4" w:space="0" w:color="auto"/>
            </w:tcBorders>
            <w:hideMark/>
          </w:tcPr>
          <w:p w14:paraId="78CDFC7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ZW10</w:t>
            </w:r>
          </w:p>
        </w:tc>
        <w:tc>
          <w:tcPr>
            <w:tcW w:w="3969" w:type="dxa"/>
            <w:tcBorders>
              <w:top w:val="single" w:sz="4" w:space="0" w:color="auto"/>
              <w:left w:val="single" w:sz="4" w:space="0" w:color="auto"/>
              <w:bottom w:val="single" w:sz="4" w:space="0" w:color="auto"/>
              <w:right w:val="single" w:sz="4" w:space="0" w:color="auto"/>
            </w:tcBorders>
            <w:hideMark/>
          </w:tcPr>
          <w:p w14:paraId="115AA54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(2)</w:t>
            </w:r>
          </w:p>
        </w:tc>
        <w:tc>
          <w:tcPr>
            <w:tcW w:w="3538" w:type="dxa"/>
            <w:tcBorders>
              <w:top w:val="single" w:sz="4" w:space="0" w:color="auto"/>
              <w:left w:val="single" w:sz="4" w:space="0" w:color="auto"/>
              <w:bottom w:val="single" w:sz="4" w:space="0" w:color="auto"/>
              <w:right w:val="single" w:sz="4" w:space="0" w:color="auto"/>
            </w:tcBorders>
            <w:hideMark/>
          </w:tcPr>
          <w:p w14:paraId="5D83D5B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6F0BF83E" w14:textId="77777777" w:rsidTr="003D5B90">
        <w:trPr>
          <w:trHeight w:val="102"/>
        </w:trPr>
        <w:tc>
          <w:tcPr>
            <w:tcW w:w="1555" w:type="dxa"/>
            <w:tcBorders>
              <w:top w:val="single" w:sz="4" w:space="0" w:color="auto"/>
              <w:left w:val="single" w:sz="4" w:space="0" w:color="auto"/>
              <w:bottom w:val="single" w:sz="4" w:space="0" w:color="auto"/>
              <w:right w:val="single" w:sz="4" w:space="0" w:color="auto"/>
            </w:tcBorders>
            <w:hideMark/>
          </w:tcPr>
          <w:p w14:paraId="3A0B2D9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ZW11</w:t>
            </w:r>
          </w:p>
        </w:tc>
        <w:tc>
          <w:tcPr>
            <w:tcW w:w="3969" w:type="dxa"/>
            <w:tcBorders>
              <w:top w:val="single" w:sz="4" w:space="0" w:color="auto"/>
              <w:left w:val="single" w:sz="4" w:space="0" w:color="auto"/>
              <w:bottom w:val="single" w:sz="4" w:space="0" w:color="auto"/>
              <w:right w:val="single" w:sz="4" w:space="0" w:color="auto"/>
            </w:tcBorders>
            <w:hideMark/>
          </w:tcPr>
          <w:p w14:paraId="59E20BC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(3)</w:t>
            </w:r>
          </w:p>
        </w:tc>
        <w:tc>
          <w:tcPr>
            <w:tcW w:w="3538" w:type="dxa"/>
            <w:tcBorders>
              <w:top w:val="single" w:sz="4" w:space="0" w:color="auto"/>
              <w:left w:val="single" w:sz="4" w:space="0" w:color="auto"/>
              <w:bottom w:val="single" w:sz="4" w:space="0" w:color="auto"/>
              <w:right w:val="single" w:sz="4" w:space="0" w:color="auto"/>
            </w:tcBorders>
            <w:hideMark/>
          </w:tcPr>
          <w:p w14:paraId="4FEA6AB1"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592301D5" w14:textId="77777777" w:rsidTr="003D5B90">
        <w:trPr>
          <w:trHeight w:val="87"/>
        </w:trPr>
        <w:tc>
          <w:tcPr>
            <w:tcW w:w="1555" w:type="dxa"/>
            <w:tcBorders>
              <w:top w:val="single" w:sz="4" w:space="0" w:color="auto"/>
              <w:left w:val="single" w:sz="4" w:space="0" w:color="auto"/>
              <w:bottom w:val="single" w:sz="4" w:space="0" w:color="auto"/>
              <w:right w:val="single" w:sz="4" w:space="0" w:color="auto"/>
            </w:tcBorders>
            <w:hideMark/>
          </w:tcPr>
          <w:p w14:paraId="393F4A9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ZW12</w:t>
            </w:r>
          </w:p>
        </w:tc>
        <w:tc>
          <w:tcPr>
            <w:tcW w:w="3969" w:type="dxa"/>
            <w:tcBorders>
              <w:top w:val="single" w:sz="4" w:space="0" w:color="auto"/>
              <w:left w:val="single" w:sz="4" w:space="0" w:color="auto"/>
              <w:bottom w:val="single" w:sz="4" w:space="0" w:color="auto"/>
              <w:right w:val="single" w:sz="4" w:space="0" w:color="auto"/>
            </w:tcBorders>
            <w:hideMark/>
          </w:tcPr>
          <w:p w14:paraId="4C1DB4F6"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(4)</w:t>
            </w:r>
          </w:p>
        </w:tc>
        <w:tc>
          <w:tcPr>
            <w:tcW w:w="3538" w:type="dxa"/>
            <w:tcBorders>
              <w:top w:val="single" w:sz="4" w:space="0" w:color="auto"/>
              <w:left w:val="single" w:sz="4" w:space="0" w:color="auto"/>
              <w:bottom w:val="single" w:sz="4" w:space="0" w:color="auto"/>
              <w:right w:val="single" w:sz="4" w:space="0" w:color="auto"/>
            </w:tcBorders>
            <w:hideMark/>
          </w:tcPr>
          <w:p w14:paraId="2AB411F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53F7EB94" w14:textId="77777777" w:rsidTr="003D5B90">
        <w:trPr>
          <w:trHeight w:val="150"/>
        </w:trPr>
        <w:tc>
          <w:tcPr>
            <w:tcW w:w="1555" w:type="dxa"/>
            <w:tcBorders>
              <w:top w:val="single" w:sz="4" w:space="0" w:color="auto"/>
              <w:left w:val="single" w:sz="4" w:space="0" w:color="auto"/>
              <w:bottom w:val="single" w:sz="4" w:space="0" w:color="auto"/>
              <w:right w:val="single" w:sz="4" w:space="0" w:color="auto"/>
            </w:tcBorders>
            <w:hideMark/>
          </w:tcPr>
          <w:p w14:paraId="2F0A29F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ZW13</w:t>
            </w:r>
          </w:p>
        </w:tc>
        <w:tc>
          <w:tcPr>
            <w:tcW w:w="3969" w:type="dxa"/>
            <w:tcBorders>
              <w:top w:val="single" w:sz="4" w:space="0" w:color="auto"/>
              <w:left w:val="single" w:sz="4" w:space="0" w:color="auto"/>
              <w:bottom w:val="single" w:sz="4" w:space="0" w:color="auto"/>
              <w:right w:val="single" w:sz="4" w:space="0" w:color="auto"/>
            </w:tcBorders>
            <w:hideMark/>
          </w:tcPr>
          <w:p w14:paraId="33F7A2B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(5)</w:t>
            </w:r>
          </w:p>
        </w:tc>
        <w:tc>
          <w:tcPr>
            <w:tcW w:w="3538" w:type="dxa"/>
            <w:tcBorders>
              <w:top w:val="single" w:sz="4" w:space="0" w:color="auto"/>
              <w:left w:val="single" w:sz="4" w:space="0" w:color="auto"/>
              <w:bottom w:val="single" w:sz="4" w:space="0" w:color="auto"/>
              <w:right w:val="single" w:sz="4" w:space="0" w:color="auto"/>
            </w:tcBorders>
            <w:hideMark/>
          </w:tcPr>
          <w:p w14:paraId="3E295D9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1DA2D715" w14:textId="77777777" w:rsidTr="003D5B90">
        <w:trPr>
          <w:trHeight w:val="105"/>
        </w:trPr>
        <w:tc>
          <w:tcPr>
            <w:tcW w:w="1555" w:type="dxa"/>
            <w:tcBorders>
              <w:top w:val="single" w:sz="4" w:space="0" w:color="auto"/>
              <w:left w:val="single" w:sz="4" w:space="0" w:color="auto"/>
              <w:bottom w:val="single" w:sz="4" w:space="0" w:color="auto"/>
              <w:right w:val="single" w:sz="4" w:space="0" w:color="auto"/>
            </w:tcBorders>
            <w:hideMark/>
          </w:tcPr>
          <w:p w14:paraId="69156D6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ZW14</w:t>
            </w:r>
          </w:p>
        </w:tc>
        <w:tc>
          <w:tcPr>
            <w:tcW w:w="3969" w:type="dxa"/>
            <w:tcBorders>
              <w:top w:val="single" w:sz="4" w:space="0" w:color="auto"/>
              <w:left w:val="single" w:sz="4" w:space="0" w:color="auto"/>
              <w:bottom w:val="single" w:sz="4" w:space="0" w:color="auto"/>
              <w:right w:val="single" w:sz="4" w:space="0" w:color="auto"/>
            </w:tcBorders>
            <w:hideMark/>
          </w:tcPr>
          <w:p w14:paraId="7613AE3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Klimatyzacja (6)</w:t>
            </w:r>
          </w:p>
        </w:tc>
        <w:tc>
          <w:tcPr>
            <w:tcW w:w="3538" w:type="dxa"/>
            <w:tcBorders>
              <w:top w:val="single" w:sz="4" w:space="0" w:color="auto"/>
              <w:left w:val="single" w:sz="4" w:space="0" w:color="auto"/>
              <w:bottom w:val="single" w:sz="4" w:space="0" w:color="auto"/>
              <w:right w:val="single" w:sz="4" w:space="0" w:color="auto"/>
            </w:tcBorders>
            <w:hideMark/>
          </w:tcPr>
          <w:p w14:paraId="6C0F2F9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65BA3553"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0B21FEE6"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ZW15</w:t>
            </w:r>
          </w:p>
        </w:tc>
        <w:tc>
          <w:tcPr>
            <w:tcW w:w="3969" w:type="dxa"/>
            <w:tcBorders>
              <w:top w:val="single" w:sz="4" w:space="0" w:color="auto"/>
              <w:left w:val="single" w:sz="4" w:space="0" w:color="auto"/>
              <w:bottom w:val="single" w:sz="4" w:space="0" w:color="auto"/>
              <w:right w:val="single" w:sz="4" w:space="0" w:color="auto"/>
            </w:tcBorders>
            <w:hideMark/>
          </w:tcPr>
          <w:p w14:paraId="323C6ED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wentylacyjna (nawiew akumulatornia)</w:t>
            </w:r>
          </w:p>
        </w:tc>
        <w:tc>
          <w:tcPr>
            <w:tcW w:w="3538" w:type="dxa"/>
            <w:tcBorders>
              <w:top w:val="single" w:sz="4" w:space="0" w:color="auto"/>
              <w:left w:val="single" w:sz="4" w:space="0" w:color="auto"/>
              <w:bottom w:val="single" w:sz="4" w:space="0" w:color="auto"/>
              <w:right w:val="single" w:sz="4" w:space="0" w:color="auto"/>
            </w:tcBorders>
            <w:hideMark/>
          </w:tcPr>
          <w:p w14:paraId="5375B55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77</w:t>
            </w:r>
          </w:p>
        </w:tc>
      </w:tr>
      <w:tr w:rsidR="003D5B90" w:rsidRPr="008B55C6" w14:paraId="575ECD8C"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339C9AE1"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ZW16</w:t>
            </w:r>
          </w:p>
        </w:tc>
        <w:tc>
          <w:tcPr>
            <w:tcW w:w="3969" w:type="dxa"/>
            <w:tcBorders>
              <w:top w:val="single" w:sz="4" w:space="0" w:color="auto"/>
              <w:left w:val="single" w:sz="4" w:space="0" w:color="auto"/>
              <w:bottom w:val="single" w:sz="4" w:space="0" w:color="auto"/>
              <w:right w:val="single" w:sz="4" w:space="0" w:color="auto"/>
            </w:tcBorders>
            <w:hideMark/>
          </w:tcPr>
          <w:p w14:paraId="19EE688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wentylacyjna (pom. biurowe)</w:t>
            </w:r>
          </w:p>
        </w:tc>
        <w:tc>
          <w:tcPr>
            <w:tcW w:w="3538" w:type="dxa"/>
            <w:tcBorders>
              <w:top w:val="single" w:sz="4" w:space="0" w:color="auto"/>
              <w:left w:val="single" w:sz="4" w:space="0" w:color="auto"/>
              <w:bottom w:val="single" w:sz="4" w:space="0" w:color="auto"/>
              <w:right w:val="single" w:sz="4" w:space="0" w:color="auto"/>
            </w:tcBorders>
            <w:hideMark/>
          </w:tcPr>
          <w:p w14:paraId="6A2CE51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77</w:t>
            </w:r>
          </w:p>
        </w:tc>
      </w:tr>
      <w:tr w:rsidR="003D5B90" w:rsidRPr="008B55C6" w14:paraId="3AACE9AF"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6B00544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ZW17</w:t>
            </w:r>
          </w:p>
        </w:tc>
        <w:tc>
          <w:tcPr>
            <w:tcW w:w="3969" w:type="dxa"/>
            <w:tcBorders>
              <w:top w:val="single" w:sz="4" w:space="0" w:color="auto"/>
              <w:left w:val="single" w:sz="4" w:space="0" w:color="auto"/>
              <w:bottom w:val="single" w:sz="4" w:space="0" w:color="auto"/>
              <w:right w:val="single" w:sz="4" w:space="0" w:color="auto"/>
            </w:tcBorders>
            <w:hideMark/>
          </w:tcPr>
          <w:p w14:paraId="06AE925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wentylacyjna (szatnie, umywalne)</w:t>
            </w:r>
          </w:p>
        </w:tc>
        <w:tc>
          <w:tcPr>
            <w:tcW w:w="3538" w:type="dxa"/>
            <w:tcBorders>
              <w:top w:val="single" w:sz="4" w:space="0" w:color="auto"/>
              <w:left w:val="single" w:sz="4" w:space="0" w:color="auto"/>
              <w:bottom w:val="single" w:sz="4" w:space="0" w:color="auto"/>
              <w:right w:val="single" w:sz="4" w:space="0" w:color="auto"/>
            </w:tcBorders>
            <w:hideMark/>
          </w:tcPr>
          <w:p w14:paraId="72301BF1"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77</w:t>
            </w:r>
          </w:p>
        </w:tc>
      </w:tr>
      <w:tr w:rsidR="003D5B90" w:rsidRPr="008B55C6" w14:paraId="2239618B"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168D9F3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ZW18</w:t>
            </w:r>
          </w:p>
        </w:tc>
        <w:tc>
          <w:tcPr>
            <w:tcW w:w="3969" w:type="dxa"/>
            <w:tcBorders>
              <w:top w:val="single" w:sz="4" w:space="0" w:color="auto"/>
              <w:left w:val="single" w:sz="4" w:space="0" w:color="auto"/>
              <w:bottom w:val="single" w:sz="4" w:space="0" w:color="auto"/>
              <w:right w:val="single" w:sz="4" w:space="0" w:color="auto"/>
            </w:tcBorders>
            <w:hideMark/>
          </w:tcPr>
          <w:p w14:paraId="5222B7A2" w14:textId="5FA62A3A"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Wentylator</w:t>
            </w:r>
            <w:r w:rsidR="00177F94" w:rsidRPr="008B55C6">
              <w:rPr>
                <w:rFonts w:ascii="Arial" w:hAnsi="Arial" w:cs="Arial"/>
                <w:sz w:val="20"/>
                <w:szCs w:val="20"/>
                <w:lang w:eastAsia="en-US"/>
              </w:rPr>
              <w:t xml:space="preserve"> </w:t>
            </w:r>
            <w:r w:rsidRPr="008B55C6">
              <w:rPr>
                <w:rFonts w:ascii="Arial" w:hAnsi="Arial" w:cs="Arial"/>
                <w:sz w:val="20"/>
                <w:szCs w:val="20"/>
                <w:lang w:eastAsia="en-US"/>
              </w:rPr>
              <w:t>wywiewny z toalet</w:t>
            </w:r>
          </w:p>
        </w:tc>
        <w:tc>
          <w:tcPr>
            <w:tcW w:w="3538" w:type="dxa"/>
            <w:tcBorders>
              <w:top w:val="single" w:sz="4" w:space="0" w:color="auto"/>
              <w:left w:val="single" w:sz="4" w:space="0" w:color="auto"/>
              <w:bottom w:val="single" w:sz="4" w:space="0" w:color="auto"/>
              <w:right w:val="single" w:sz="4" w:space="0" w:color="auto"/>
            </w:tcBorders>
            <w:hideMark/>
          </w:tcPr>
          <w:p w14:paraId="18EB9ED7"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19E60DF1"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0E5FD74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ZW19</w:t>
            </w:r>
          </w:p>
        </w:tc>
        <w:tc>
          <w:tcPr>
            <w:tcW w:w="3969" w:type="dxa"/>
            <w:tcBorders>
              <w:top w:val="single" w:sz="4" w:space="0" w:color="auto"/>
              <w:left w:val="single" w:sz="4" w:space="0" w:color="auto"/>
              <w:bottom w:val="single" w:sz="4" w:space="0" w:color="auto"/>
              <w:right w:val="single" w:sz="4" w:space="0" w:color="auto"/>
            </w:tcBorders>
            <w:hideMark/>
          </w:tcPr>
          <w:p w14:paraId="0DD1B69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JZ klimatyzacji</w:t>
            </w:r>
          </w:p>
        </w:tc>
        <w:tc>
          <w:tcPr>
            <w:tcW w:w="3538" w:type="dxa"/>
            <w:tcBorders>
              <w:top w:val="single" w:sz="4" w:space="0" w:color="auto"/>
              <w:left w:val="single" w:sz="4" w:space="0" w:color="auto"/>
              <w:bottom w:val="single" w:sz="4" w:space="0" w:color="auto"/>
              <w:right w:val="single" w:sz="4" w:space="0" w:color="auto"/>
            </w:tcBorders>
            <w:hideMark/>
          </w:tcPr>
          <w:p w14:paraId="4155F6B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7E04FE11" w14:textId="77777777" w:rsidTr="003D5B90">
        <w:trPr>
          <w:trHeight w:val="220"/>
        </w:trPr>
        <w:tc>
          <w:tcPr>
            <w:tcW w:w="1555" w:type="dxa"/>
            <w:tcBorders>
              <w:top w:val="single" w:sz="4" w:space="0" w:color="auto"/>
              <w:left w:val="single" w:sz="4" w:space="0" w:color="auto"/>
              <w:bottom w:val="single" w:sz="4" w:space="0" w:color="auto"/>
              <w:right w:val="single" w:sz="4" w:space="0" w:color="auto"/>
            </w:tcBorders>
            <w:hideMark/>
          </w:tcPr>
          <w:p w14:paraId="29B1930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ZW20</w:t>
            </w:r>
          </w:p>
        </w:tc>
        <w:tc>
          <w:tcPr>
            <w:tcW w:w="3969" w:type="dxa"/>
            <w:tcBorders>
              <w:top w:val="single" w:sz="4" w:space="0" w:color="auto"/>
              <w:left w:val="single" w:sz="4" w:space="0" w:color="auto"/>
              <w:bottom w:val="single" w:sz="4" w:space="0" w:color="auto"/>
              <w:right w:val="single" w:sz="4" w:space="0" w:color="auto"/>
            </w:tcBorders>
            <w:hideMark/>
          </w:tcPr>
          <w:p w14:paraId="1C61F0B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Wywiew z centrali obsługującej jadalnie</w:t>
            </w:r>
          </w:p>
        </w:tc>
        <w:tc>
          <w:tcPr>
            <w:tcW w:w="3538" w:type="dxa"/>
            <w:tcBorders>
              <w:top w:val="single" w:sz="4" w:space="0" w:color="auto"/>
              <w:left w:val="single" w:sz="4" w:space="0" w:color="auto"/>
              <w:bottom w:val="single" w:sz="4" w:space="0" w:color="auto"/>
              <w:right w:val="single" w:sz="4" w:space="0" w:color="auto"/>
            </w:tcBorders>
            <w:hideMark/>
          </w:tcPr>
          <w:p w14:paraId="745BBA3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4F3821A4"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2093C3B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ZW21</w:t>
            </w:r>
          </w:p>
        </w:tc>
        <w:tc>
          <w:tcPr>
            <w:tcW w:w="3969" w:type="dxa"/>
            <w:tcBorders>
              <w:top w:val="single" w:sz="4" w:space="0" w:color="auto"/>
              <w:left w:val="single" w:sz="4" w:space="0" w:color="auto"/>
              <w:bottom w:val="single" w:sz="4" w:space="0" w:color="auto"/>
              <w:right w:val="single" w:sz="4" w:space="0" w:color="auto"/>
            </w:tcBorders>
            <w:hideMark/>
          </w:tcPr>
          <w:p w14:paraId="5FC73E5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Jednostka typu </w:t>
            </w:r>
            <w:proofErr w:type="spellStart"/>
            <w:r w:rsidRPr="008B55C6">
              <w:rPr>
                <w:rFonts w:ascii="Arial" w:hAnsi="Arial" w:cs="Arial"/>
                <w:sz w:val="20"/>
                <w:szCs w:val="20"/>
                <w:lang w:eastAsia="en-US"/>
              </w:rPr>
              <w:t>split</w:t>
            </w:r>
            <w:proofErr w:type="spellEnd"/>
            <w:r w:rsidRPr="008B55C6">
              <w:rPr>
                <w:rFonts w:ascii="Arial" w:hAnsi="Arial" w:cs="Arial"/>
                <w:sz w:val="20"/>
                <w:szCs w:val="20"/>
                <w:lang w:eastAsia="en-US"/>
              </w:rPr>
              <w:t xml:space="preserve"> na kontenerze CEMS</w:t>
            </w:r>
          </w:p>
        </w:tc>
        <w:tc>
          <w:tcPr>
            <w:tcW w:w="3538" w:type="dxa"/>
            <w:tcBorders>
              <w:top w:val="single" w:sz="4" w:space="0" w:color="auto"/>
              <w:left w:val="single" w:sz="4" w:space="0" w:color="auto"/>
              <w:bottom w:val="single" w:sz="4" w:space="0" w:color="auto"/>
              <w:right w:val="single" w:sz="4" w:space="0" w:color="auto"/>
            </w:tcBorders>
            <w:hideMark/>
          </w:tcPr>
          <w:p w14:paraId="79AF255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63DD09CA"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376F82D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ZW22</w:t>
            </w:r>
          </w:p>
        </w:tc>
        <w:tc>
          <w:tcPr>
            <w:tcW w:w="3969" w:type="dxa"/>
            <w:tcBorders>
              <w:top w:val="single" w:sz="4" w:space="0" w:color="auto"/>
              <w:left w:val="single" w:sz="4" w:space="0" w:color="auto"/>
              <w:bottom w:val="single" w:sz="4" w:space="0" w:color="auto"/>
              <w:right w:val="single" w:sz="4" w:space="0" w:color="auto"/>
            </w:tcBorders>
            <w:hideMark/>
          </w:tcPr>
          <w:p w14:paraId="4BFB726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Wyrzut spalin z kotła K-7</w:t>
            </w:r>
          </w:p>
        </w:tc>
        <w:tc>
          <w:tcPr>
            <w:tcW w:w="3538" w:type="dxa"/>
            <w:tcBorders>
              <w:top w:val="single" w:sz="4" w:space="0" w:color="auto"/>
              <w:left w:val="single" w:sz="4" w:space="0" w:color="auto"/>
              <w:bottom w:val="single" w:sz="4" w:space="0" w:color="auto"/>
              <w:right w:val="single" w:sz="4" w:space="0" w:color="auto"/>
            </w:tcBorders>
            <w:hideMark/>
          </w:tcPr>
          <w:p w14:paraId="085FF23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r w:rsidR="003D5B90" w:rsidRPr="008B55C6" w14:paraId="3661221E" w14:textId="77777777" w:rsidTr="003D5B90">
        <w:trPr>
          <w:trHeight w:val="235"/>
        </w:trPr>
        <w:tc>
          <w:tcPr>
            <w:tcW w:w="1555" w:type="dxa"/>
            <w:tcBorders>
              <w:top w:val="single" w:sz="4" w:space="0" w:color="auto"/>
              <w:left w:val="single" w:sz="4" w:space="0" w:color="auto"/>
              <w:bottom w:val="single" w:sz="4" w:space="0" w:color="auto"/>
              <w:right w:val="single" w:sz="4" w:space="0" w:color="auto"/>
            </w:tcBorders>
            <w:hideMark/>
          </w:tcPr>
          <w:p w14:paraId="31CD7F5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ZW23</w:t>
            </w:r>
          </w:p>
        </w:tc>
        <w:tc>
          <w:tcPr>
            <w:tcW w:w="3969" w:type="dxa"/>
            <w:tcBorders>
              <w:top w:val="single" w:sz="4" w:space="0" w:color="auto"/>
              <w:left w:val="single" w:sz="4" w:space="0" w:color="auto"/>
              <w:bottom w:val="single" w:sz="4" w:space="0" w:color="auto"/>
              <w:right w:val="single" w:sz="4" w:space="0" w:color="auto"/>
            </w:tcBorders>
            <w:hideMark/>
          </w:tcPr>
          <w:p w14:paraId="339B419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Wyrzut spalin z kotła K-6</w:t>
            </w:r>
          </w:p>
        </w:tc>
        <w:tc>
          <w:tcPr>
            <w:tcW w:w="3538" w:type="dxa"/>
            <w:tcBorders>
              <w:top w:val="single" w:sz="4" w:space="0" w:color="auto"/>
              <w:left w:val="single" w:sz="4" w:space="0" w:color="auto"/>
              <w:bottom w:val="single" w:sz="4" w:space="0" w:color="auto"/>
              <w:right w:val="single" w:sz="4" w:space="0" w:color="auto"/>
            </w:tcBorders>
            <w:hideMark/>
          </w:tcPr>
          <w:p w14:paraId="662F0F0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r w:rsidR="003D5B90" w:rsidRPr="008B55C6" w14:paraId="3361833F" w14:textId="77777777" w:rsidTr="003D5B90">
        <w:trPr>
          <w:trHeight w:val="70"/>
        </w:trPr>
        <w:tc>
          <w:tcPr>
            <w:tcW w:w="1555" w:type="dxa"/>
            <w:tcBorders>
              <w:top w:val="single" w:sz="4" w:space="0" w:color="auto"/>
              <w:left w:val="single" w:sz="4" w:space="0" w:color="auto"/>
              <w:bottom w:val="single" w:sz="4" w:space="0" w:color="auto"/>
              <w:right w:val="single" w:sz="4" w:space="0" w:color="auto"/>
            </w:tcBorders>
            <w:hideMark/>
          </w:tcPr>
          <w:p w14:paraId="47669BC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ZW24</w:t>
            </w:r>
          </w:p>
        </w:tc>
        <w:tc>
          <w:tcPr>
            <w:tcW w:w="3969" w:type="dxa"/>
            <w:tcBorders>
              <w:top w:val="single" w:sz="4" w:space="0" w:color="auto"/>
              <w:left w:val="single" w:sz="4" w:space="0" w:color="auto"/>
              <w:bottom w:val="single" w:sz="4" w:space="0" w:color="auto"/>
              <w:right w:val="single" w:sz="4" w:space="0" w:color="auto"/>
            </w:tcBorders>
            <w:hideMark/>
          </w:tcPr>
          <w:p w14:paraId="467435E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Wyrzut spalin z kotła K-5</w:t>
            </w:r>
          </w:p>
        </w:tc>
        <w:tc>
          <w:tcPr>
            <w:tcW w:w="3538" w:type="dxa"/>
            <w:tcBorders>
              <w:top w:val="single" w:sz="4" w:space="0" w:color="auto"/>
              <w:left w:val="single" w:sz="4" w:space="0" w:color="auto"/>
              <w:bottom w:val="single" w:sz="4" w:space="0" w:color="auto"/>
              <w:right w:val="single" w:sz="4" w:space="0" w:color="auto"/>
            </w:tcBorders>
            <w:hideMark/>
          </w:tcPr>
          <w:p w14:paraId="7344D9B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bl>
    <w:p w14:paraId="3EF4D73C" w14:textId="77777777" w:rsidR="003D5B90" w:rsidRPr="008B55C6" w:rsidRDefault="003D5B90" w:rsidP="00177F94">
      <w:pPr>
        <w:spacing w:line="360" w:lineRule="auto"/>
        <w:rPr>
          <w:rFonts w:ascii="Arial" w:hAnsi="Arial" w:cs="Arial"/>
        </w:rPr>
      </w:pPr>
    </w:p>
    <w:p w14:paraId="51F20059" w14:textId="77777777" w:rsidR="003D5B90" w:rsidRPr="008B55C6" w:rsidRDefault="003D5B90" w:rsidP="00177F94">
      <w:pPr>
        <w:pStyle w:val="Akapitzlist"/>
        <w:numPr>
          <w:ilvl w:val="0"/>
          <w:numId w:val="6"/>
        </w:numPr>
        <w:spacing w:line="360" w:lineRule="auto"/>
        <w:rPr>
          <w:rFonts w:ascii="Arial" w:hAnsi="Arial" w:cs="Arial"/>
        </w:rPr>
      </w:pPr>
      <w:r w:rsidRPr="008B55C6">
        <w:rPr>
          <w:rFonts w:ascii="Arial" w:hAnsi="Arial" w:cs="Arial"/>
        </w:rPr>
        <w:t>Kierunkowe źródła hałasu:</w:t>
      </w:r>
    </w:p>
    <w:tbl>
      <w:tblPr>
        <w:tblStyle w:val="Tabela-Siatka"/>
        <w:tblW w:w="0" w:type="auto"/>
        <w:tblInd w:w="0" w:type="dxa"/>
        <w:tblLook w:val="04A0" w:firstRow="1" w:lastRow="0" w:firstColumn="1" w:lastColumn="0" w:noHBand="0" w:noVBand="1"/>
      </w:tblPr>
      <w:tblGrid>
        <w:gridCol w:w="1555"/>
        <w:gridCol w:w="3969"/>
        <w:gridCol w:w="3538"/>
      </w:tblGrid>
      <w:tr w:rsidR="003D5B90" w:rsidRPr="008B55C6" w14:paraId="0A54EF4D"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4C04313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Kod źródła hałasu</w:t>
            </w:r>
          </w:p>
        </w:tc>
        <w:tc>
          <w:tcPr>
            <w:tcW w:w="3969" w:type="dxa"/>
            <w:tcBorders>
              <w:top w:val="single" w:sz="4" w:space="0" w:color="auto"/>
              <w:left w:val="single" w:sz="4" w:space="0" w:color="auto"/>
              <w:bottom w:val="single" w:sz="4" w:space="0" w:color="auto"/>
              <w:right w:val="single" w:sz="4" w:space="0" w:color="auto"/>
            </w:tcBorders>
            <w:hideMark/>
          </w:tcPr>
          <w:p w14:paraId="57E117D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Nazwa źródła hałasu</w:t>
            </w:r>
          </w:p>
        </w:tc>
        <w:tc>
          <w:tcPr>
            <w:tcW w:w="3538" w:type="dxa"/>
            <w:tcBorders>
              <w:top w:val="single" w:sz="4" w:space="0" w:color="auto"/>
              <w:left w:val="single" w:sz="4" w:space="0" w:color="auto"/>
              <w:bottom w:val="single" w:sz="4" w:space="0" w:color="auto"/>
              <w:right w:val="single" w:sz="4" w:space="0" w:color="auto"/>
            </w:tcBorders>
            <w:hideMark/>
          </w:tcPr>
          <w:p w14:paraId="715CA5E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Maksymalny poziom mocy akustycznej źródła [</w:t>
            </w:r>
            <w:proofErr w:type="spellStart"/>
            <w:r w:rsidRPr="008B55C6">
              <w:rPr>
                <w:rFonts w:ascii="Arial" w:hAnsi="Arial" w:cs="Arial"/>
                <w:sz w:val="20"/>
                <w:szCs w:val="20"/>
                <w:lang w:eastAsia="en-US"/>
              </w:rPr>
              <w:t>dB</w:t>
            </w:r>
            <w:proofErr w:type="spellEnd"/>
            <w:r w:rsidRPr="008B55C6">
              <w:rPr>
                <w:rFonts w:ascii="Arial" w:hAnsi="Arial" w:cs="Arial"/>
                <w:sz w:val="20"/>
                <w:szCs w:val="20"/>
                <w:lang w:eastAsia="en-US"/>
              </w:rPr>
              <w:t>]</w:t>
            </w:r>
          </w:p>
        </w:tc>
      </w:tr>
      <w:tr w:rsidR="003D5B90" w:rsidRPr="008B55C6" w14:paraId="249F8A16"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776D1DE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w:t>
            </w:r>
          </w:p>
        </w:tc>
        <w:tc>
          <w:tcPr>
            <w:tcW w:w="3969" w:type="dxa"/>
            <w:tcBorders>
              <w:top w:val="single" w:sz="4" w:space="0" w:color="auto"/>
              <w:left w:val="single" w:sz="4" w:space="0" w:color="auto"/>
              <w:bottom w:val="single" w:sz="4" w:space="0" w:color="auto"/>
              <w:right w:val="single" w:sz="4" w:space="0" w:color="auto"/>
            </w:tcBorders>
            <w:hideMark/>
          </w:tcPr>
          <w:p w14:paraId="3022462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Krata wywiewna </w:t>
            </w:r>
          </w:p>
        </w:tc>
        <w:tc>
          <w:tcPr>
            <w:tcW w:w="3538" w:type="dxa"/>
            <w:tcBorders>
              <w:top w:val="single" w:sz="4" w:space="0" w:color="auto"/>
              <w:left w:val="single" w:sz="4" w:space="0" w:color="auto"/>
              <w:bottom w:val="single" w:sz="4" w:space="0" w:color="auto"/>
              <w:right w:val="single" w:sz="4" w:space="0" w:color="auto"/>
            </w:tcBorders>
            <w:hideMark/>
          </w:tcPr>
          <w:p w14:paraId="2DEAD2A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4A481FD0"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178143C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lastRenderedPageBreak/>
              <w:t>ZK2</w:t>
            </w:r>
          </w:p>
        </w:tc>
        <w:tc>
          <w:tcPr>
            <w:tcW w:w="3969" w:type="dxa"/>
            <w:tcBorders>
              <w:top w:val="single" w:sz="4" w:space="0" w:color="auto"/>
              <w:left w:val="single" w:sz="4" w:space="0" w:color="auto"/>
              <w:bottom w:val="single" w:sz="4" w:space="0" w:color="auto"/>
              <w:right w:val="single" w:sz="4" w:space="0" w:color="auto"/>
            </w:tcBorders>
            <w:hideMark/>
          </w:tcPr>
          <w:p w14:paraId="55124F0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Krata wywiewna</w:t>
            </w:r>
          </w:p>
        </w:tc>
        <w:tc>
          <w:tcPr>
            <w:tcW w:w="3538" w:type="dxa"/>
            <w:tcBorders>
              <w:top w:val="single" w:sz="4" w:space="0" w:color="auto"/>
              <w:left w:val="single" w:sz="4" w:space="0" w:color="auto"/>
              <w:bottom w:val="single" w:sz="4" w:space="0" w:color="auto"/>
              <w:right w:val="single" w:sz="4" w:space="0" w:color="auto"/>
            </w:tcBorders>
            <w:hideMark/>
          </w:tcPr>
          <w:p w14:paraId="3A6EDE0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5EE75308"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4BF938A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ZK3</w:t>
            </w:r>
          </w:p>
        </w:tc>
        <w:tc>
          <w:tcPr>
            <w:tcW w:w="3969" w:type="dxa"/>
            <w:tcBorders>
              <w:top w:val="single" w:sz="4" w:space="0" w:color="auto"/>
              <w:left w:val="single" w:sz="4" w:space="0" w:color="auto"/>
              <w:bottom w:val="single" w:sz="4" w:space="0" w:color="auto"/>
              <w:right w:val="single" w:sz="4" w:space="0" w:color="auto"/>
            </w:tcBorders>
            <w:hideMark/>
          </w:tcPr>
          <w:p w14:paraId="32FFC44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(1)</w:t>
            </w:r>
          </w:p>
        </w:tc>
        <w:tc>
          <w:tcPr>
            <w:tcW w:w="3538" w:type="dxa"/>
            <w:tcBorders>
              <w:top w:val="single" w:sz="4" w:space="0" w:color="auto"/>
              <w:left w:val="single" w:sz="4" w:space="0" w:color="auto"/>
              <w:bottom w:val="single" w:sz="4" w:space="0" w:color="auto"/>
              <w:right w:val="single" w:sz="4" w:space="0" w:color="auto"/>
            </w:tcBorders>
            <w:hideMark/>
          </w:tcPr>
          <w:p w14:paraId="191893B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225F0D01"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6B69304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ZK4</w:t>
            </w:r>
          </w:p>
        </w:tc>
        <w:tc>
          <w:tcPr>
            <w:tcW w:w="3969" w:type="dxa"/>
            <w:tcBorders>
              <w:top w:val="single" w:sz="4" w:space="0" w:color="auto"/>
              <w:left w:val="single" w:sz="4" w:space="0" w:color="auto"/>
              <w:bottom w:val="single" w:sz="4" w:space="0" w:color="auto"/>
              <w:right w:val="single" w:sz="4" w:space="0" w:color="auto"/>
            </w:tcBorders>
            <w:hideMark/>
          </w:tcPr>
          <w:p w14:paraId="3D6EBE0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(2)</w:t>
            </w:r>
          </w:p>
        </w:tc>
        <w:tc>
          <w:tcPr>
            <w:tcW w:w="3538" w:type="dxa"/>
            <w:tcBorders>
              <w:top w:val="single" w:sz="4" w:space="0" w:color="auto"/>
              <w:left w:val="single" w:sz="4" w:space="0" w:color="auto"/>
              <w:bottom w:val="single" w:sz="4" w:space="0" w:color="auto"/>
              <w:right w:val="single" w:sz="4" w:space="0" w:color="auto"/>
            </w:tcBorders>
            <w:hideMark/>
          </w:tcPr>
          <w:p w14:paraId="5C7C29D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1A384A9D"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3382B3A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ZK5</w:t>
            </w:r>
          </w:p>
        </w:tc>
        <w:tc>
          <w:tcPr>
            <w:tcW w:w="3969" w:type="dxa"/>
            <w:tcBorders>
              <w:top w:val="single" w:sz="4" w:space="0" w:color="auto"/>
              <w:left w:val="single" w:sz="4" w:space="0" w:color="auto"/>
              <w:bottom w:val="single" w:sz="4" w:space="0" w:color="auto"/>
              <w:right w:val="single" w:sz="4" w:space="0" w:color="auto"/>
            </w:tcBorders>
            <w:hideMark/>
          </w:tcPr>
          <w:p w14:paraId="38331B2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(3)</w:t>
            </w:r>
          </w:p>
        </w:tc>
        <w:tc>
          <w:tcPr>
            <w:tcW w:w="3538" w:type="dxa"/>
            <w:tcBorders>
              <w:top w:val="single" w:sz="4" w:space="0" w:color="auto"/>
              <w:left w:val="single" w:sz="4" w:space="0" w:color="auto"/>
              <w:bottom w:val="single" w:sz="4" w:space="0" w:color="auto"/>
              <w:right w:val="single" w:sz="4" w:space="0" w:color="auto"/>
            </w:tcBorders>
            <w:hideMark/>
          </w:tcPr>
          <w:p w14:paraId="1BA4BEC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26486E5D" w14:textId="77777777" w:rsidTr="003D5B90">
        <w:tc>
          <w:tcPr>
            <w:tcW w:w="1555" w:type="dxa"/>
            <w:tcBorders>
              <w:top w:val="single" w:sz="4" w:space="0" w:color="auto"/>
              <w:left w:val="single" w:sz="4" w:space="0" w:color="auto"/>
              <w:bottom w:val="single" w:sz="4" w:space="0" w:color="auto"/>
              <w:right w:val="single" w:sz="4" w:space="0" w:color="auto"/>
            </w:tcBorders>
            <w:hideMark/>
          </w:tcPr>
          <w:p w14:paraId="7C932CD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ZK6</w:t>
            </w:r>
          </w:p>
        </w:tc>
        <w:tc>
          <w:tcPr>
            <w:tcW w:w="3969" w:type="dxa"/>
            <w:tcBorders>
              <w:top w:val="single" w:sz="4" w:space="0" w:color="auto"/>
              <w:left w:val="single" w:sz="4" w:space="0" w:color="auto"/>
              <w:bottom w:val="single" w:sz="4" w:space="0" w:color="auto"/>
              <w:right w:val="single" w:sz="4" w:space="0" w:color="auto"/>
            </w:tcBorders>
            <w:hideMark/>
          </w:tcPr>
          <w:p w14:paraId="352C431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(4)</w:t>
            </w:r>
          </w:p>
        </w:tc>
        <w:tc>
          <w:tcPr>
            <w:tcW w:w="3538" w:type="dxa"/>
            <w:tcBorders>
              <w:top w:val="single" w:sz="4" w:space="0" w:color="auto"/>
              <w:left w:val="single" w:sz="4" w:space="0" w:color="auto"/>
              <w:bottom w:val="single" w:sz="4" w:space="0" w:color="auto"/>
              <w:right w:val="single" w:sz="4" w:space="0" w:color="auto"/>
            </w:tcBorders>
            <w:hideMark/>
          </w:tcPr>
          <w:p w14:paraId="7E15D2E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263FD2CC" w14:textId="77777777" w:rsidTr="003D5B90">
        <w:trPr>
          <w:trHeight w:val="180"/>
        </w:trPr>
        <w:tc>
          <w:tcPr>
            <w:tcW w:w="1555" w:type="dxa"/>
            <w:tcBorders>
              <w:top w:val="single" w:sz="4" w:space="0" w:color="auto"/>
              <w:left w:val="single" w:sz="4" w:space="0" w:color="auto"/>
              <w:bottom w:val="single" w:sz="4" w:space="0" w:color="auto"/>
              <w:right w:val="single" w:sz="4" w:space="0" w:color="auto"/>
            </w:tcBorders>
            <w:hideMark/>
          </w:tcPr>
          <w:p w14:paraId="43BEB13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ZK7</w:t>
            </w:r>
          </w:p>
        </w:tc>
        <w:tc>
          <w:tcPr>
            <w:tcW w:w="3969" w:type="dxa"/>
            <w:tcBorders>
              <w:top w:val="single" w:sz="4" w:space="0" w:color="auto"/>
              <w:left w:val="single" w:sz="4" w:space="0" w:color="auto"/>
              <w:bottom w:val="single" w:sz="4" w:space="0" w:color="auto"/>
              <w:right w:val="single" w:sz="4" w:space="0" w:color="auto"/>
            </w:tcBorders>
            <w:hideMark/>
          </w:tcPr>
          <w:p w14:paraId="05A247A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(5)</w:t>
            </w:r>
          </w:p>
        </w:tc>
        <w:tc>
          <w:tcPr>
            <w:tcW w:w="3538" w:type="dxa"/>
            <w:tcBorders>
              <w:top w:val="single" w:sz="4" w:space="0" w:color="auto"/>
              <w:left w:val="single" w:sz="4" w:space="0" w:color="auto"/>
              <w:bottom w:val="single" w:sz="4" w:space="0" w:color="auto"/>
              <w:right w:val="single" w:sz="4" w:space="0" w:color="auto"/>
            </w:tcBorders>
            <w:hideMark/>
          </w:tcPr>
          <w:p w14:paraId="3DA2B67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69FC5409" w14:textId="77777777" w:rsidTr="003D5B90">
        <w:trPr>
          <w:trHeight w:val="94"/>
        </w:trPr>
        <w:tc>
          <w:tcPr>
            <w:tcW w:w="1555" w:type="dxa"/>
            <w:tcBorders>
              <w:top w:val="single" w:sz="4" w:space="0" w:color="auto"/>
              <w:left w:val="single" w:sz="4" w:space="0" w:color="auto"/>
              <w:bottom w:val="single" w:sz="4" w:space="0" w:color="auto"/>
              <w:right w:val="single" w:sz="4" w:space="0" w:color="auto"/>
            </w:tcBorders>
            <w:hideMark/>
          </w:tcPr>
          <w:p w14:paraId="79869979"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ZK8</w:t>
            </w:r>
          </w:p>
        </w:tc>
        <w:tc>
          <w:tcPr>
            <w:tcW w:w="3969" w:type="dxa"/>
            <w:tcBorders>
              <w:top w:val="single" w:sz="4" w:space="0" w:color="auto"/>
              <w:left w:val="single" w:sz="4" w:space="0" w:color="auto"/>
              <w:bottom w:val="single" w:sz="4" w:space="0" w:color="auto"/>
              <w:right w:val="single" w:sz="4" w:space="0" w:color="auto"/>
            </w:tcBorders>
            <w:hideMark/>
          </w:tcPr>
          <w:p w14:paraId="3BBAAE1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(6)</w:t>
            </w:r>
          </w:p>
        </w:tc>
        <w:tc>
          <w:tcPr>
            <w:tcW w:w="3538" w:type="dxa"/>
            <w:tcBorders>
              <w:top w:val="single" w:sz="4" w:space="0" w:color="auto"/>
              <w:left w:val="single" w:sz="4" w:space="0" w:color="auto"/>
              <w:bottom w:val="single" w:sz="4" w:space="0" w:color="auto"/>
              <w:right w:val="single" w:sz="4" w:space="0" w:color="auto"/>
            </w:tcBorders>
            <w:hideMark/>
          </w:tcPr>
          <w:p w14:paraId="03B5A15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6E2AEE5F"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1030C2A7"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ZK9</w:t>
            </w:r>
          </w:p>
        </w:tc>
        <w:tc>
          <w:tcPr>
            <w:tcW w:w="3969" w:type="dxa"/>
            <w:tcBorders>
              <w:top w:val="single" w:sz="4" w:space="0" w:color="auto"/>
              <w:left w:val="single" w:sz="4" w:space="0" w:color="auto"/>
              <w:bottom w:val="single" w:sz="4" w:space="0" w:color="auto"/>
              <w:right w:val="single" w:sz="4" w:space="0" w:color="auto"/>
            </w:tcBorders>
            <w:hideMark/>
          </w:tcPr>
          <w:p w14:paraId="39A82AE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(7)</w:t>
            </w:r>
          </w:p>
        </w:tc>
        <w:tc>
          <w:tcPr>
            <w:tcW w:w="3538" w:type="dxa"/>
            <w:tcBorders>
              <w:top w:val="single" w:sz="4" w:space="0" w:color="auto"/>
              <w:left w:val="single" w:sz="4" w:space="0" w:color="auto"/>
              <w:bottom w:val="single" w:sz="4" w:space="0" w:color="auto"/>
              <w:right w:val="single" w:sz="4" w:space="0" w:color="auto"/>
            </w:tcBorders>
            <w:hideMark/>
          </w:tcPr>
          <w:p w14:paraId="0383B106"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56255463" w14:textId="77777777" w:rsidTr="003D5B90">
        <w:trPr>
          <w:trHeight w:val="109"/>
        </w:trPr>
        <w:tc>
          <w:tcPr>
            <w:tcW w:w="1555" w:type="dxa"/>
            <w:tcBorders>
              <w:top w:val="single" w:sz="4" w:space="0" w:color="auto"/>
              <w:left w:val="single" w:sz="4" w:space="0" w:color="auto"/>
              <w:bottom w:val="single" w:sz="4" w:space="0" w:color="auto"/>
              <w:right w:val="single" w:sz="4" w:space="0" w:color="auto"/>
            </w:tcBorders>
            <w:hideMark/>
          </w:tcPr>
          <w:p w14:paraId="00079F6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ZK10</w:t>
            </w:r>
          </w:p>
        </w:tc>
        <w:tc>
          <w:tcPr>
            <w:tcW w:w="3969" w:type="dxa"/>
            <w:tcBorders>
              <w:top w:val="single" w:sz="4" w:space="0" w:color="auto"/>
              <w:left w:val="single" w:sz="4" w:space="0" w:color="auto"/>
              <w:bottom w:val="single" w:sz="4" w:space="0" w:color="auto"/>
              <w:right w:val="single" w:sz="4" w:space="0" w:color="auto"/>
            </w:tcBorders>
            <w:hideMark/>
          </w:tcPr>
          <w:p w14:paraId="3F7A499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Wywiew ze stacji </w:t>
            </w:r>
            <w:proofErr w:type="spellStart"/>
            <w:r w:rsidRPr="008B55C6">
              <w:rPr>
                <w:rFonts w:ascii="Arial" w:hAnsi="Arial" w:cs="Arial"/>
                <w:sz w:val="20"/>
                <w:szCs w:val="20"/>
                <w:lang w:eastAsia="en-US"/>
              </w:rPr>
              <w:t>trafo</w:t>
            </w:r>
            <w:proofErr w:type="spellEnd"/>
            <w:r w:rsidRPr="008B55C6">
              <w:rPr>
                <w:rFonts w:ascii="Arial" w:hAnsi="Arial" w:cs="Arial"/>
                <w:sz w:val="20"/>
                <w:szCs w:val="20"/>
                <w:lang w:eastAsia="en-US"/>
              </w:rPr>
              <w:t xml:space="preserve"> (8)</w:t>
            </w:r>
          </w:p>
        </w:tc>
        <w:tc>
          <w:tcPr>
            <w:tcW w:w="3538" w:type="dxa"/>
            <w:tcBorders>
              <w:top w:val="single" w:sz="4" w:space="0" w:color="auto"/>
              <w:left w:val="single" w:sz="4" w:space="0" w:color="auto"/>
              <w:bottom w:val="single" w:sz="4" w:space="0" w:color="auto"/>
              <w:right w:val="single" w:sz="4" w:space="0" w:color="auto"/>
            </w:tcBorders>
            <w:hideMark/>
          </w:tcPr>
          <w:p w14:paraId="516621A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r>
      <w:tr w:rsidR="003D5B90" w:rsidRPr="008B55C6" w14:paraId="70DCC683" w14:textId="77777777" w:rsidTr="003D5B90">
        <w:trPr>
          <w:trHeight w:val="79"/>
        </w:trPr>
        <w:tc>
          <w:tcPr>
            <w:tcW w:w="1555" w:type="dxa"/>
            <w:tcBorders>
              <w:top w:val="single" w:sz="4" w:space="0" w:color="auto"/>
              <w:left w:val="single" w:sz="4" w:space="0" w:color="auto"/>
              <w:bottom w:val="single" w:sz="4" w:space="0" w:color="auto"/>
              <w:right w:val="single" w:sz="4" w:space="0" w:color="auto"/>
            </w:tcBorders>
            <w:hideMark/>
          </w:tcPr>
          <w:p w14:paraId="7123429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ZK11</w:t>
            </w:r>
          </w:p>
        </w:tc>
        <w:tc>
          <w:tcPr>
            <w:tcW w:w="3969" w:type="dxa"/>
            <w:tcBorders>
              <w:top w:val="single" w:sz="4" w:space="0" w:color="auto"/>
              <w:left w:val="single" w:sz="4" w:space="0" w:color="auto"/>
              <w:bottom w:val="single" w:sz="4" w:space="0" w:color="auto"/>
              <w:right w:val="single" w:sz="4" w:space="0" w:color="auto"/>
            </w:tcBorders>
            <w:hideMark/>
          </w:tcPr>
          <w:p w14:paraId="70BD7E07"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nawiewna k7</w:t>
            </w:r>
          </w:p>
        </w:tc>
        <w:tc>
          <w:tcPr>
            <w:tcW w:w="3538" w:type="dxa"/>
            <w:tcBorders>
              <w:top w:val="single" w:sz="4" w:space="0" w:color="auto"/>
              <w:left w:val="single" w:sz="4" w:space="0" w:color="auto"/>
              <w:bottom w:val="single" w:sz="4" w:space="0" w:color="auto"/>
              <w:right w:val="single" w:sz="4" w:space="0" w:color="auto"/>
            </w:tcBorders>
            <w:hideMark/>
          </w:tcPr>
          <w:p w14:paraId="3098CC27"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87,9</w:t>
            </w:r>
          </w:p>
        </w:tc>
      </w:tr>
      <w:tr w:rsidR="003D5B90" w:rsidRPr="008B55C6" w14:paraId="5273FF36"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60B8815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ZK12</w:t>
            </w:r>
          </w:p>
        </w:tc>
        <w:tc>
          <w:tcPr>
            <w:tcW w:w="3969" w:type="dxa"/>
            <w:tcBorders>
              <w:top w:val="single" w:sz="4" w:space="0" w:color="auto"/>
              <w:left w:val="single" w:sz="4" w:space="0" w:color="auto"/>
              <w:bottom w:val="single" w:sz="4" w:space="0" w:color="auto"/>
              <w:right w:val="single" w:sz="4" w:space="0" w:color="auto"/>
            </w:tcBorders>
            <w:hideMark/>
          </w:tcPr>
          <w:p w14:paraId="2146698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nawiewna k6</w:t>
            </w:r>
          </w:p>
        </w:tc>
        <w:tc>
          <w:tcPr>
            <w:tcW w:w="3538" w:type="dxa"/>
            <w:tcBorders>
              <w:top w:val="single" w:sz="4" w:space="0" w:color="auto"/>
              <w:left w:val="single" w:sz="4" w:space="0" w:color="auto"/>
              <w:bottom w:val="single" w:sz="4" w:space="0" w:color="auto"/>
              <w:right w:val="single" w:sz="4" w:space="0" w:color="auto"/>
            </w:tcBorders>
            <w:hideMark/>
          </w:tcPr>
          <w:p w14:paraId="254B3D1B"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89,7</w:t>
            </w:r>
          </w:p>
        </w:tc>
      </w:tr>
      <w:tr w:rsidR="003D5B90" w:rsidRPr="008B55C6" w14:paraId="054BC036" w14:textId="77777777" w:rsidTr="003D5B90">
        <w:trPr>
          <w:trHeight w:val="120"/>
        </w:trPr>
        <w:tc>
          <w:tcPr>
            <w:tcW w:w="1555" w:type="dxa"/>
            <w:tcBorders>
              <w:top w:val="single" w:sz="4" w:space="0" w:color="auto"/>
              <w:left w:val="single" w:sz="4" w:space="0" w:color="auto"/>
              <w:bottom w:val="single" w:sz="4" w:space="0" w:color="auto"/>
              <w:right w:val="single" w:sz="4" w:space="0" w:color="auto"/>
            </w:tcBorders>
            <w:hideMark/>
          </w:tcPr>
          <w:p w14:paraId="4712A29E"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ZK13</w:t>
            </w:r>
          </w:p>
        </w:tc>
        <w:tc>
          <w:tcPr>
            <w:tcW w:w="3969" w:type="dxa"/>
            <w:tcBorders>
              <w:top w:val="single" w:sz="4" w:space="0" w:color="auto"/>
              <w:left w:val="single" w:sz="4" w:space="0" w:color="auto"/>
              <w:bottom w:val="single" w:sz="4" w:space="0" w:color="auto"/>
              <w:right w:val="single" w:sz="4" w:space="0" w:color="auto"/>
            </w:tcBorders>
            <w:hideMark/>
          </w:tcPr>
          <w:p w14:paraId="30F565B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Centrala nawiewna k5</w:t>
            </w:r>
          </w:p>
        </w:tc>
        <w:tc>
          <w:tcPr>
            <w:tcW w:w="3538" w:type="dxa"/>
            <w:tcBorders>
              <w:top w:val="single" w:sz="4" w:space="0" w:color="auto"/>
              <w:left w:val="single" w:sz="4" w:space="0" w:color="auto"/>
              <w:bottom w:val="single" w:sz="4" w:space="0" w:color="auto"/>
              <w:right w:val="single" w:sz="4" w:space="0" w:color="auto"/>
            </w:tcBorders>
            <w:hideMark/>
          </w:tcPr>
          <w:p w14:paraId="514CAB12"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89,7</w:t>
            </w:r>
          </w:p>
        </w:tc>
      </w:tr>
      <w:tr w:rsidR="003D5B90" w:rsidRPr="008B55C6" w14:paraId="4C592078" w14:textId="77777777" w:rsidTr="003D5B90">
        <w:trPr>
          <w:trHeight w:val="219"/>
        </w:trPr>
        <w:tc>
          <w:tcPr>
            <w:tcW w:w="1555" w:type="dxa"/>
            <w:tcBorders>
              <w:top w:val="single" w:sz="4" w:space="0" w:color="auto"/>
              <w:left w:val="single" w:sz="4" w:space="0" w:color="auto"/>
              <w:bottom w:val="single" w:sz="4" w:space="0" w:color="auto"/>
              <w:right w:val="single" w:sz="4" w:space="0" w:color="auto"/>
            </w:tcBorders>
            <w:hideMark/>
          </w:tcPr>
          <w:p w14:paraId="461995F5"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ZK14</w:t>
            </w:r>
          </w:p>
        </w:tc>
        <w:tc>
          <w:tcPr>
            <w:tcW w:w="3969" w:type="dxa"/>
            <w:tcBorders>
              <w:top w:val="single" w:sz="4" w:space="0" w:color="auto"/>
              <w:left w:val="single" w:sz="4" w:space="0" w:color="auto"/>
              <w:bottom w:val="single" w:sz="4" w:space="0" w:color="auto"/>
              <w:right w:val="single" w:sz="4" w:space="0" w:color="auto"/>
            </w:tcBorders>
            <w:hideMark/>
          </w:tcPr>
          <w:p w14:paraId="5E9AB6A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Czerpnia powietrzna do spalania </w:t>
            </w:r>
          </w:p>
        </w:tc>
        <w:tc>
          <w:tcPr>
            <w:tcW w:w="3538" w:type="dxa"/>
            <w:tcBorders>
              <w:top w:val="single" w:sz="4" w:space="0" w:color="auto"/>
              <w:left w:val="single" w:sz="4" w:space="0" w:color="auto"/>
              <w:bottom w:val="single" w:sz="4" w:space="0" w:color="auto"/>
              <w:right w:val="single" w:sz="4" w:space="0" w:color="auto"/>
            </w:tcBorders>
            <w:hideMark/>
          </w:tcPr>
          <w:p w14:paraId="705D74D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r w:rsidR="003D5B90" w:rsidRPr="008B55C6" w14:paraId="6722406D" w14:textId="77777777" w:rsidTr="003D5B90">
        <w:trPr>
          <w:trHeight w:val="225"/>
        </w:trPr>
        <w:tc>
          <w:tcPr>
            <w:tcW w:w="1555" w:type="dxa"/>
            <w:tcBorders>
              <w:top w:val="single" w:sz="4" w:space="0" w:color="auto"/>
              <w:left w:val="single" w:sz="4" w:space="0" w:color="auto"/>
              <w:bottom w:val="single" w:sz="4" w:space="0" w:color="auto"/>
              <w:right w:val="single" w:sz="4" w:space="0" w:color="auto"/>
            </w:tcBorders>
            <w:hideMark/>
          </w:tcPr>
          <w:p w14:paraId="123F81E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ZK15</w:t>
            </w:r>
          </w:p>
        </w:tc>
        <w:tc>
          <w:tcPr>
            <w:tcW w:w="3969" w:type="dxa"/>
            <w:tcBorders>
              <w:top w:val="single" w:sz="4" w:space="0" w:color="auto"/>
              <w:left w:val="single" w:sz="4" w:space="0" w:color="auto"/>
              <w:bottom w:val="single" w:sz="4" w:space="0" w:color="auto"/>
              <w:right w:val="single" w:sz="4" w:space="0" w:color="auto"/>
            </w:tcBorders>
            <w:hideMark/>
          </w:tcPr>
          <w:p w14:paraId="29661F8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Czerpnia powietrzna do spalania</w:t>
            </w:r>
          </w:p>
        </w:tc>
        <w:tc>
          <w:tcPr>
            <w:tcW w:w="3538" w:type="dxa"/>
            <w:tcBorders>
              <w:top w:val="single" w:sz="4" w:space="0" w:color="auto"/>
              <w:left w:val="single" w:sz="4" w:space="0" w:color="auto"/>
              <w:bottom w:val="single" w:sz="4" w:space="0" w:color="auto"/>
              <w:right w:val="single" w:sz="4" w:space="0" w:color="auto"/>
            </w:tcBorders>
            <w:hideMark/>
          </w:tcPr>
          <w:p w14:paraId="4DD45DE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r w:rsidR="003D5B90" w:rsidRPr="008B55C6" w14:paraId="190C31C0" w14:textId="77777777" w:rsidTr="003D5B90">
        <w:trPr>
          <w:trHeight w:val="204"/>
        </w:trPr>
        <w:tc>
          <w:tcPr>
            <w:tcW w:w="1555" w:type="dxa"/>
            <w:tcBorders>
              <w:top w:val="single" w:sz="4" w:space="0" w:color="auto"/>
              <w:left w:val="single" w:sz="4" w:space="0" w:color="auto"/>
              <w:bottom w:val="single" w:sz="4" w:space="0" w:color="auto"/>
              <w:right w:val="single" w:sz="4" w:space="0" w:color="auto"/>
            </w:tcBorders>
            <w:hideMark/>
          </w:tcPr>
          <w:p w14:paraId="280E7E9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ZK16</w:t>
            </w:r>
          </w:p>
        </w:tc>
        <w:tc>
          <w:tcPr>
            <w:tcW w:w="3969" w:type="dxa"/>
            <w:tcBorders>
              <w:top w:val="single" w:sz="4" w:space="0" w:color="auto"/>
              <w:left w:val="single" w:sz="4" w:space="0" w:color="auto"/>
              <w:bottom w:val="single" w:sz="4" w:space="0" w:color="auto"/>
              <w:right w:val="single" w:sz="4" w:space="0" w:color="auto"/>
            </w:tcBorders>
            <w:hideMark/>
          </w:tcPr>
          <w:p w14:paraId="4F1A933C"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Czerpnia powietrzna do spalania</w:t>
            </w:r>
          </w:p>
        </w:tc>
        <w:tc>
          <w:tcPr>
            <w:tcW w:w="3538" w:type="dxa"/>
            <w:tcBorders>
              <w:top w:val="single" w:sz="4" w:space="0" w:color="auto"/>
              <w:left w:val="single" w:sz="4" w:space="0" w:color="auto"/>
              <w:bottom w:val="single" w:sz="4" w:space="0" w:color="auto"/>
              <w:right w:val="single" w:sz="4" w:space="0" w:color="auto"/>
            </w:tcBorders>
            <w:hideMark/>
          </w:tcPr>
          <w:p w14:paraId="498F49BA"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103</w:t>
            </w:r>
          </w:p>
        </w:tc>
      </w:tr>
    </w:tbl>
    <w:p w14:paraId="03DD49AD" w14:textId="77777777" w:rsidR="003D5B90" w:rsidRPr="008B55C6" w:rsidRDefault="003D5B90" w:rsidP="00177F94">
      <w:pPr>
        <w:spacing w:line="360" w:lineRule="auto"/>
        <w:rPr>
          <w:rFonts w:ascii="Arial" w:hAnsi="Arial" w:cs="Arial"/>
        </w:rPr>
      </w:pPr>
    </w:p>
    <w:p w14:paraId="5B602ACB" w14:textId="77777777" w:rsidR="003D5B90" w:rsidRPr="008B55C6" w:rsidRDefault="003D5B90" w:rsidP="00177F94">
      <w:pPr>
        <w:pStyle w:val="Akapitzlist"/>
        <w:numPr>
          <w:ilvl w:val="0"/>
          <w:numId w:val="6"/>
        </w:numPr>
        <w:spacing w:line="360" w:lineRule="auto"/>
        <w:rPr>
          <w:rFonts w:ascii="Arial" w:hAnsi="Arial" w:cs="Arial"/>
        </w:rPr>
      </w:pPr>
      <w:r w:rsidRPr="008B55C6">
        <w:rPr>
          <w:rFonts w:ascii="Arial" w:hAnsi="Arial" w:cs="Arial"/>
        </w:rPr>
        <w:t>Wtórne źródło hałasu:</w:t>
      </w:r>
    </w:p>
    <w:tbl>
      <w:tblPr>
        <w:tblStyle w:val="Tabela-Siatka"/>
        <w:tblW w:w="0" w:type="auto"/>
        <w:tblInd w:w="0" w:type="dxa"/>
        <w:tblLook w:val="04A0" w:firstRow="1" w:lastRow="0" w:firstColumn="1" w:lastColumn="0" w:noHBand="0" w:noVBand="1"/>
      </w:tblPr>
      <w:tblGrid>
        <w:gridCol w:w="2265"/>
        <w:gridCol w:w="2265"/>
        <w:gridCol w:w="2266"/>
        <w:gridCol w:w="2266"/>
      </w:tblGrid>
      <w:tr w:rsidR="003D5B90" w:rsidRPr="008B55C6" w14:paraId="275D6AE3" w14:textId="77777777" w:rsidTr="003D5B90">
        <w:tc>
          <w:tcPr>
            <w:tcW w:w="2265" w:type="dxa"/>
            <w:tcBorders>
              <w:top w:val="single" w:sz="4" w:space="0" w:color="auto"/>
              <w:left w:val="single" w:sz="4" w:space="0" w:color="auto"/>
              <w:bottom w:val="single" w:sz="4" w:space="0" w:color="auto"/>
              <w:right w:val="single" w:sz="4" w:space="0" w:color="auto"/>
            </w:tcBorders>
            <w:hideMark/>
          </w:tcPr>
          <w:p w14:paraId="13568963"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Kod źródła hałasu </w:t>
            </w:r>
          </w:p>
        </w:tc>
        <w:tc>
          <w:tcPr>
            <w:tcW w:w="2265" w:type="dxa"/>
            <w:tcBorders>
              <w:top w:val="single" w:sz="4" w:space="0" w:color="auto"/>
              <w:left w:val="single" w:sz="4" w:space="0" w:color="auto"/>
              <w:bottom w:val="single" w:sz="4" w:space="0" w:color="auto"/>
              <w:right w:val="single" w:sz="4" w:space="0" w:color="auto"/>
            </w:tcBorders>
            <w:hideMark/>
          </w:tcPr>
          <w:p w14:paraId="79E1540F"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Nazwa źródła hałasu</w:t>
            </w:r>
          </w:p>
        </w:tc>
        <w:tc>
          <w:tcPr>
            <w:tcW w:w="2266" w:type="dxa"/>
            <w:tcBorders>
              <w:top w:val="single" w:sz="4" w:space="0" w:color="auto"/>
              <w:left w:val="single" w:sz="4" w:space="0" w:color="auto"/>
              <w:bottom w:val="single" w:sz="4" w:space="0" w:color="auto"/>
              <w:right w:val="single" w:sz="4" w:space="0" w:color="auto"/>
            </w:tcBorders>
            <w:hideMark/>
          </w:tcPr>
          <w:p w14:paraId="5462AD06" w14:textId="40A19C32"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Poziom dźwięku wewnątrz budynku L</w:t>
            </w:r>
            <w:r w:rsidRPr="008B55C6">
              <w:rPr>
                <w:rFonts w:ascii="Arial" w:hAnsi="Arial" w:cs="Arial"/>
                <w:sz w:val="20"/>
                <w:szCs w:val="20"/>
                <w:vertAlign w:val="subscript"/>
                <w:lang w:eastAsia="en-US"/>
              </w:rPr>
              <w:t>WEW</w:t>
            </w:r>
            <w:r w:rsidR="00177F94" w:rsidRPr="008B55C6">
              <w:rPr>
                <w:rFonts w:ascii="Arial" w:hAnsi="Arial" w:cs="Arial"/>
                <w:sz w:val="20"/>
                <w:szCs w:val="20"/>
                <w:vertAlign w:val="subscript"/>
                <w:lang w:eastAsia="en-US"/>
              </w:rPr>
              <w:t xml:space="preserve"> </w:t>
            </w:r>
            <w:r w:rsidRPr="008B55C6">
              <w:rPr>
                <w:rFonts w:ascii="Arial" w:hAnsi="Arial" w:cs="Arial"/>
                <w:sz w:val="20"/>
                <w:szCs w:val="20"/>
                <w:lang w:eastAsia="en-US"/>
              </w:rPr>
              <w:t>[</w:t>
            </w:r>
            <w:proofErr w:type="spellStart"/>
            <w:r w:rsidRPr="008B55C6">
              <w:rPr>
                <w:rFonts w:ascii="Arial" w:hAnsi="Arial" w:cs="Arial"/>
                <w:sz w:val="20"/>
                <w:szCs w:val="20"/>
                <w:lang w:eastAsia="en-US"/>
              </w:rPr>
              <w:t>dB</w:t>
            </w:r>
            <w:proofErr w:type="spellEnd"/>
            <w:r w:rsidRPr="008B55C6">
              <w:rPr>
                <w:rFonts w:ascii="Arial" w:hAnsi="Arial" w:cs="Arial"/>
                <w:sz w:val="20"/>
                <w:szCs w:val="20"/>
                <w:lang w:eastAsia="en-US"/>
              </w:rPr>
              <w:t>]</w:t>
            </w:r>
          </w:p>
        </w:tc>
        <w:tc>
          <w:tcPr>
            <w:tcW w:w="2266" w:type="dxa"/>
            <w:tcBorders>
              <w:top w:val="single" w:sz="4" w:space="0" w:color="auto"/>
              <w:left w:val="single" w:sz="4" w:space="0" w:color="auto"/>
              <w:bottom w:val="single" w:sz="4" w:space="0" w:color="auto"/>
              <w:right w:val="single" w:sz="4" w:space="0" w:color="auto"/>
            </w:tcBorders>
            <w:hideMark/>
          </w:tcPr>
          <w:p w14:paraId="68949678"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Środki ograniczające emisję hałasu do środowiska </w:t>
            </w:r>
          </w:p>
        </w:tc>
      </w:tr>
      <w:tr w:rsidR="003D5B90" w:rsidRPr="008B55C6" w14:paraId="4181847C" w14:textId="77777777" w:rsidTr="003D5B90">
        <w:tc>
          <w:tcPr>
            <w:tcW w:w="2265" w:type="dxa"/>
            <w:tcBorders>
              <w:top w:val="single" w:sz="4" w:space="0" w:color="auto"/>
              <w:left w:val="single" w:sz="4" w:space="0" w:color="auto"/>
              <w:bottom w:val="single" w:sz="4" w:space="0" w:color="auto"/>
              <w:right w:val="single" w:sz="4" w:space="0" w:color="auto"/>
            </w:tcBorders>
            <w:hideMark/>
          </w:tcPr>
          <w:p w14:paraId="45DA5284"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ZB3</w:t>
            </w:r>
          </w:p>
        </w:tc>
        <w:tc>
          <w:tcPr>
            <w:tcW w:w="2265" w:type="dxa"/>
            <w:tcBorders>
              <w:top w:val="single" w:sz="4" w:space="0" w:color="auto"/>
              <w:left w:val="single" w:sz="4" w:space="0" w:color="auto"/>
              <w:bottom w:val="single" w:sz="4" w:space="0" w:color="auto"/>
              <w:right w:val="single" w:sz="4" w:space="0" w:color="auto"/>
            </w:tcBorders>
            <w:hideMark/>
          </w:tcPr>
          <w:p w14:paraId="639C79C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Budynek nowej kotłowni</w:t>
            </w:r>
          </w:p>
        </w:tc>
        <w:tc>
          <w:tcPr>
            <w:tcW w:w="2266" w:type="dxa"/>
            <w:tcBorders>
              <w:top w:val="single" w:sz="4" w:space="0" w:color="auto"/>
              <w:left w:val="single" w:sz="4" w:space="0" w:color="auto"/>
              <w:bottom w:val="single" w:sz="4" w:space="0" w:color="auto"/>
              <w:right w:val="single" w:sz="4" w:space="0" w:color="auto"/>
            </w:tcBorders>
            <w:hideMark/>
          </w:tcPr>
          <w:p w14:paraId="04F9A43D"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85</w:t>
            </w:r>
          </w:p>
        </w:tc>
        <w:tc>
          <w:tcPr>
            <w:tcW w:w="2266" w:type="dxa"/>
            <w:tcBorders>
              <w:top w:val="single" w:sz="4" w:space="0" w:color="auto"/>
              <w:left w:val="single" w:sz="4" w:space="0" w:color="auto"/>
              <w:bottom w:val="single" w:sz="4" w:space="0" w:color="auto"/>
              <w:right w:val="single" w:sz="4" w:space="0" w:color="auto"/>
            </w:tcBorders>
            <w:hideMark/>
          </w:tcPr>
          <w:p w14:paraId="781E67D0" w14:textId="77777777" w:rsidR="003D5B90" w:rsidRPr="008B55C6" w:rsidRDefault="003D5B90" w:rsidP="00177F94">
            <w:pPr>
              <w:spacing w:line="360" w:lineRule="auto"/>
              <w:rPr>
                <w:rFonts w:ascii="Arial" w:hAnsi="Arial" w:cs="Arial"/>
                <w:sz w:val="20"/>
                <w:szCs w:val="20"/>
                <w:lang w:eastAsia="en-US"/>
              </w:rPr>
            </w:pPr>
            <w:r w:rsidRPr="008B55C6">
              <w:rPr>
                <w:rFonts w:ascii="Arial" w:hAnsi="Arial" w:cs="Arial"/>
                <w:sz w:val="20"/>
                <w:szCs w:val="20"/>
                <w:lang w:eastAsia="en-US"/>
              </w:rPr>
              <w:t xml:space="preserve">Budynek w zabudowie szkieletowej wykonany z zabudowy płyt warstwowych z rdzeniem z wełny mineralnej. Izolacyjność akustyczna właściwa przegród zewnętrznych </w:t>
            </w:r>
            <w:proofErr w:type="spellStart"/>
            <w:r w:rsidRPr="008B55C6">
              <w:rPr>
                <w:rFonts w:ascii="Arial" w:hAnsi="Arial" w:cs="Arial"/>
                <w:sz w:val="20"/>
                <w:szCs w:val="20"/>
                <w:lang w:eastAsia="en-US"/>
              </w:rPr>
              <w:t>R</w:t>
            </w:r>
            <w:r w:rsidRPr="008B55C6">
              <w:rPr>
                <w:rFonts w:ascii="Arial" w:hAnsi="Arial" w:cs="Arial"/>
                <w:sz w:val="20"/>
                <w:szCs w:val="20"/>
                <w:vertAlign w:val="subscript"/>
                <w:lang w:eastAsia="en-US"/>
              </w:rPr>
              <w:t>w</w:t>
            </w:r>
            <w:proofErr w:type="spellEnd"/>
            <w:r w:rsidRPr="008B55C6">
              <w:rPr>
                <w:rFonts w:ascii="Arial" w:hAnsi="Arial" w:cs="Arial"/>
                <w:sz w:val="20"/>
                <w:szCs w:val="20"/>
                <w:lang w:eastAsia="en-US"/>
              </w:rPr>
              <w:t xml:space="preserve"> nie mniejsza niż 32 </w:t>
            </w:r>
            <w:proofErr w:type="spellStart"/>
            <w:r w:rsidRPr="008B55C6">
              <w:rPr>
                <w:rFonts w:ascii="Arial" w:hAnsi="Arial" w:cs="Arial"/>
                <w:sz w:val="20"/>
                <w:szCs w:val="20"/>
                <w:lang w:eastAsia="en-US"/>
              </w:rPr>
              <w:t>dB</w:t>
            </w:r>
            <w:proofErr w:type="spellEnd"/>
          </w:p>
        </w:tc>
      </w:tr>
    </w:tbl>
    <w:p w14:paraId="20C44E82" w14:textId="77777777" w:rsidR="003D5B90" w:rsidRPr="008B55C6" w:rsidRDefault="003D5B90" w:rsidP="00177F94">
      <w:pPr>
        <w:spacing w:line="360" w:lineRule="auto"/>
        <w:rPr>
          <w:rFonts w:ascii="Arial" w:hAnsi="Arial" w:cs="Arial"/>
        </w:rPr>
      </w:pPr>
    </w:p>
    <w:p w14:paraId="26049351" w14:textId="77777777" w:rsidR="003D5B90" w:rsidRPr="008B55C6" w:rsidRDefault="003D5B90" w:rsidP="00177F94">
      <w:pPr>
        <w:pStyle w:val="Akapitzlist"/>
        <w:spacing w:line="360" w:lineRule="auto"/>
        <w:rPr>
          <w:rFonts w:ascii="Arial" w:eastAsiaTheme="minorHAnsi" w:hAnsi="Arial" w:cs="Arial"/>
          <w:lang w:eastAsia="en-US"/>
        </w:rPr>
      </w:pPr>
    </w:p>
    <w:p w14:paraId="189445D9" w14:textId="77777777" w:rsidR="003D5B90" w:rsidRPr="008B55C6" w:rsidRDefault="003D5B90" w:rsidP="00177F94">
      <w:pPr>
        <w:pStyle w:val="Akapitzlist"/>
        <w:numPr>
          <w:ilvl w:val="0"/>
          <w:numId w:val="2"/>
        </w:numPr>
        <w:spacing w:line="360" w:lineRule="auto"/>
        <w:rPr>
          <w:rFonts w:ascii="Arial" w:hAnsi="Arial" w:cs="Arial"/>
        </w:rPr>
      </w:pPr>
      <w:r w:rsidRPr="008B55C6">
        <w:rPr>
          <w:rFonts w:ascii="Arial" w:hAnsi="Arial" w:cs="Arial"/>
        </w:rPr>
        <w:t xml:space="preserve">Wymagania dotyczące ochrony środowiska konieczne do uwzględnienia w dokumentacji wymaganej do wydania decyzji, o których mowa w art. 72 ust. 1 </w:t>
      </w:r>
      <w:proofErr w:type="spellStart"/>
      <w:r w:rsidRPr="008B55C6">
        <w:rPr>
          <w:rFonts w:ascii="Arial" w:hAnsi="Arial" w:cs="Arial"/>
        </w:rPr>
        <w:t>uouioś</w:t>
      </w:r>
      <w:proofErr w:type="spellEnd"/>
      <w:r w:rsidRPr="008B55C6">
        <w:rPr>
          <w:rFonts w:ascii="Arial" w:hAnsi="Arial" w:cs="Arial"/>
        </w:rPr>
        <w:t xml:space="preserve">, w szczególności </w:t>
      </w:r>
      <w:r w:rsidRPr="008B55C6">
        <w:rPr>
          <w:rFonts w:ascii="Arial" w:hAnsi="Arial" w:cs="Arial"/>
        </w:rPr>
        <w:br/>
        <w:t xml:space="preserve">w projekcie zagospodarowania działki lub terenu lub projekcie architektoniczno-budowlanym, </w:t>
      </w:r>
      <w:r w:rsidRPr="008B55C6">
        <w:rPr>
          <w:rFonts w:ascii="Arial" w:hAnsi="Arial" w:cs="Arial"/>
        </w:rPr>
        <w:br/>
      </w:r>
      <w:r w:rsidRPr="008B55C6">
        <w:rPr>
          <w:rFonts w:ascii="Arial" w:hAnsi="Arial" w:cs="Arial"/>
        </w:rPr>
        <w:lastRenderedPageBreak/>
        <w:t xml:space="preserve">w przypadku decyzji, o których mowa w art. 72 ust. 1 pkt 1, 10, 14, 18, 23, 26 i 27 </w:t>
      </w:r>
      <w:proofErr w:type="spellStart"/>
      <w:r w:rsidRPr="008B55C6">
        <w:rPr>
          <w:rFonts w:ascii="Arial" w:hAnsi="Arial" w:cs="Arial"/>
        </w:rPr>
        <w:t>uouioś</w:t>
      </w:r>
      <w:proofErr w:type="spellEnd"/>
      <w:r w:rsidRPr="008B55C6">
        <w:rPr>
          <w:rFonts w:ascii="Arial" w:hAnsi="Arial" w:cs="Arial"/>
        </w:rPr>
        <w:t xml:space="preserve"> nałożone przez Państwowego Powiatowego Inspektora Sanitarnego we Włocławku, w opinii z dnia 06.03.2024 r., znak: NNZ-42-05-33/24 L.dz.: 1415:</w:t>
      </w:r>
    </w:p>
    <w:p w14:paraId="0B484AE3" w14:textId="77777777" w:rsidR="003D5B90" w:rsidRPr="008B55C6" w:rsidRDefault="003D5B90" w:rsidP="00177F94">
      <w:pPr>
        <w:pStyle w:val="Akapitzlist"/>
        <w:numPr>
          <w:ilvl w:val="0"/>
          <w:numId w:val="7"/>
        </w:numPr>
        <w:spacing w:line="360" w:lineRule="auto"/>
        <w:rPr>
          <w:rFonts w:ascii="Arial" w:hAnsi="Arial" w:cs="Arial"/>
          <w:bCs/>
        </w:rPr>
      </w:pPr>
      <w:r w:rsidRPr="008B55C6">
        <w:rPr>
          <w:rFonts w:ascii="Arial" w:hAnsi="Arial" w:cs="Arial"/>
          <w:bCs/>
        </w:rPr>
        <w:t>Inwestycja powinna być projektowana zgodnie z ustawą Prawo budowlane z dnia 7 lipca 1994 r. (t.j. Dz. U. z 2023 r., poz. 682 z późn. zm.), uwzględniając wymogi rozporządzenia Ministra Infrastruktury z dnia 12 kwietnia 2002 r. w sprawie warunków technicznych, jakimi powinny odpowiadać budynki i ich usytuowanie (t.j. Dz. U. z 2022 r., poz. 1225) oraz innych szczególnych przepisów budowlanych dla tego typu inwestycji i zostać wykonana zgodnie z projektem budowlanym, dla którego należy uzyskać niezbędne uzgodnienia i pozwolenia.</w:t>
      </w:r>
    </w:p>
    <w:p w14:paraId="6F6D8AA7" w14:textId="77777777" w:rsidR="003D5B90" w:rsidRPr="008B55C6" w:rsidRDefault="003D5B90" w:rsidP="00177F94">
      <w:pPr>
        <w:pStyle w:val="Akapitzlist"/>
        <w:numPr>
          <w:ilvl w:val="0"/>
          <w:numId w:val="7"/>
        </w:numPr>
        <w:spacing w:line="360" w:lineRule="auto"/>
        <w:rPr>
          <w:rFonts w:ascii="Arial" w:hAnsi="Arial" w:cs="Arial"/>
          <w:bCs/>
        </w:rPr>
      </w:pPr>
      <w:r w:rsidRPr="008B55C6">
        <w:rPr>
          <w:rFonts w:ascii="Arial" w:hAnsi="Arial" w:cs="Arial"/>
          <w:bCs/>
        </w:rPr>
        <w:t xml:space="preserve">Zachować izolacyjność akustyczną przegród planowanego budynku oraz poziomy mocy akustycznych planowanych urządzeń i źródeł hałasu określone w przedstawionej karcie informacyjnej przedsięwzięcia. </w:t>
      </w:r>
    </w:p>
    <w:p w14:paraId="586D1E9B" w14:textId="6AC6DE11" w:rsidR="003D5B90" w:rsidRPr="008B55C6" w:rsidRDefault="003D5B90" w:rsidP="00177F94">
      <w:pPr>
        <w:pStyle w:val="Akapitzlist"/>
        <w:numPr>
          <w:ilvl w:val="0"/>
          <w:numId w:val="7"/>
        </w:numPr>
        <w:spacing w:line="360" w:lineRule="auto"/>
        <w:rPr>
          <w:rFonts w:ascii="Arial" w:hAnsi="Arial" w:cs="Arial"/>
          <w:bCs/>
        </w:rPr>
      </w:pPr>
      <w:r w:rsidRPr="008B55C6">
        <w:rPr>
          <w:rFonts w:ascii="Arial" w:hAnsi="Arial" w:cs="Arial"/>
          <w:bCs/>
        </w:rPr>
        <w:t xml:space="preserve">Podczas prowadzenia robót budowlanych należy zachować szczególną ostrożność </w:t>
      </w:r>
      <w:r w:rsidRPr="008B55C6">
        <w:rPr>
          <w:rFonts w:ascii="Arial" w:hAnsi="Arial" w:cs="Arial"/>
          <w:bCs/>
        </w:rPr>
        <w:br/>
        <w:t>z uwagi na możliwość kolizji z istniejącym uzbrojeniem podziemnym lub obiektami budowlanymi i urządzeniami oraz przestrzegać obowiązujących przepisów w zakresie bezpieczeństwa i higieny pracy, w szczególności rozporządzenia Ministra Infrastruktury z dnia 6 lutego 2003 r. w sprawie bezpieczeństwa i higieny pracy podczas wykonywania robót budowlanych (Dz. U. z 2003 r. Nr 47, poz. 401). Plac budowy wyposażyć</w:t>
      </w:r>
      <w:r w:rsidR="00177F94" w:rsidRPr="008B55C6">
        <w:rPr>
          <w:rFonts w:ascii="Arial" w:hAnsi="Arial" w:cs="Arial"/>
          <w:bCs/>
        </w:rPr>
        <w:t xml:space="preserve"> </w:t>
      </w:r>
      <w:r w:rsidRPr="008B55C6">
        <w:rPr>
          <w:rFonts w:ascii="Arial" w:hAnsi="Arial" w:cs="Arial"/>
          <w:bCs/>
        </w:rPr>
        <w:t xml:space="preserve">środki neutralizujące i absorbujące substancje niebezpieczne. </w:t>
      </w:r>
    </w:p>
    <w:p w14:paraId="6D3BF68C" w14:textId="77777777" w:rsidR="003D5B90" w:rsidRPr="008B55C6" w:rsidRDefault="003D5B90" w:rsidP="00177F94">
      <w:pPr>
        <w:spacing w:line="360" w:lineRule="auto"/>
        <w:rPr>
          <w:rFonts w:ascii="Arial" w:hAnsi="Arial" w:cs="Arial"/>
          <w:bCs/>
        </w:rPr>
      </w:pPr>
    </w:p>
    <w:p w14:paraId="7A52E9CC" w14:textId="77777777" w:rsidR="00AE18AC" w:rsidRPr="008B55C6" w:rsidRDefault="00AE18AC" w:rsidP="00177F94">
      <w:pPr>
        <w:spacing w:line="360" w:lineRule="auto"/>
        <w:rPr>
          <w:rFonts w:ascii="Arial" w:hAnsi="Arial" w:cs="Arial"/>
          <w:b/>
        </w:rPr>
      </w:pPr>
    </w:p>
    <w:p w14:paraId="068F0E3B" w14:textId="77777777" w:rsidR="00AE18AC" w:rsidRPr="008B55C6" w:rsidRDefault="00AE18AC" w:rsidP="00177F94">
      <w:pPr>
        <w:spacing w:line="360" w:lineRule="auto"/>
        <w:rPr>
          <w:rFonts w:ascii="Arial" w:hAnsi="Arial" w:cs="Arial"/>
          <w:b/>
        </w:rPr>
      </w:pPr>
    </w:p>
    <w:p w14:paraId="342B2216" w14:textId="77777777" w:rsidR="008B55C6" w:rsidRDefault="008B55C6">
      <w:pPr>
        <w:spacing w:after="160" w:line="259" w:lineRule="auto"/>
        <w:rPr>
          <w:rFonts w:ascii="Arial" w:hAnsi="Arial" w:cs="Arial"/>
          <w:b/>
        </w:rPr>
      </w:pPr>
      <w:r>
        <w:rPr>
          <w:rFonts w:ascii="Arial" w:hAnsi="Arial" w:cs="Arial"/>
          <w:b/>
        </w:rPr>
        <w:br w:type="page"/>
      </w:r>
    </w:p>
    <w:p w14:paraId="306E5BAF" w14:textId="775FE041" w:rsidR="003D5B90" w:rsidRPr="008B55C6" w:rsidRDefault="003D5B90" w:rsidP="008B55C6">
      <w:pPr>
        <w:pStyle w:val="Nagwek2"/>
      </w:pPr>
      <w:r w:rsidRPr="008B55C6">
        <w:lastRenderedPageBreak/>
        <w:t>Uzasadnienie</w:t>
      </w:r>
    </w:p>
    <w:p w14:paraId="14C0281C" w14:textId="77777777" w:rsidR="003D5B90" w:rsidRPr="008B55C6" w:rsidRDefault="003D5B90" w:rsidP="00177F94">
      <w:pPr>
        <w:spacing w:line="360" w:lineRule="auto"/>
        <w:rPr>
          <w:rFonts w:ascii="Arial" w:hAnsi="Arial" w:cs="Arial"/>
          <w:b/>
        </w:rPr>
      </w:pPr>
    </w:p>
    <w:p w14:paraId="2ACF845A" w14:textId="39218F27" w:rsidR="003D5B90" w:rsidRPr="008B55C6" w:rsidRDefault="003D5B90" w:rsidP="00177F94">
      <w:pPr>
        <w:spacing w:line="360" w:lineRule="auto"/>
        <w:rPr>
          <w:rFonts w:ascii="Arial" w:hAnsi="Arial" w:cs="Arial"/>
        </w:rPr>
      </w:pPr>
      <w:r w:rsidRPr="008B55C6">
        <w:rPr>
          <w:rFonts w:ascii="Arial" w:hAnsi="Arial" w:cs="Arial"/>
        </w:rPr>
        <w:t xml:space="preserve">W dniu 16.02.2024 r. do tut. organu wpłynął wniosek spółki ANWIL S.A. ul. Toruńska 222, 87-800 Włocławek reprezentowanej przez pełnomocnika Pana Krzysztofa </w:t>
      </w:r>
      <w:proofErr w:type="spellStart"/>
      <w:r w:rsidRPr="008B55C6">
        <w:rPr>
          <w:rFonts w:ascii="Arial" w:hAnsi="Arial" w:cs="Arial"/>
        </w:rPr>
        <w:t>Madaj</w:t>
      </w:r>
      <w:proofErr w:type="spellEnd"/>
      <w:r w:rsidRPr="008B55C6">
        <w:rPr>
          <w:rFonts w:ascii="Arial" w:hAnsi="Arial" w:cs="Arial"/>
        </w:rPr>
        <w:t xml:space="preserve"> o wydanie decyzji o środowiskowych uwarunkowaniach dla przedsięwzięcia pn.:</w:t>
      </w:r>
      <w:r w:rsidRPr="008B55C6">
        <w:rPr>
          <w:rFonts w:ascii="Arial" w:hAnsi="Arial" w:cs="Arial"/>
          <w:b/>
        </w:rPr>
        <w:t xml:space="preserve"> </w:t>
      </w:r>
      <w:r w:rsidRPr="008B55C6">
        <w:rPr>
          <w:rFonts w:ascii="Arial" w:hAnsi="Arial" w:cs="Arial"/>
        </w:rPr>
        <w:t>„</w:t>
      </w:r>
      <w:r w:rsidRPr="008B55C6">
        <w:rPr>
          <w:rFonts w:ascii="Arial" w:eastAsiaTheme="minorHAnsi" w:hAnsi="Arial" w:cs="Arial"/>
          <w:lang w:eastAsia="en-US"/>
        </w:rPr>
        <w:t xml:space="preserve">Budowa </w:t>
      </w:r>
      <w:r w:rsidRPr="008B55C6">
        <w:rPr>
          <w:rFonts w:ascii="Arial" w:hAnsi="Arial" w:cs="Arial"/>
        </w:rPr>
        <w:t>nowego źródła szczytowo – rezerwowego pary KPŚ II na terenie zakładowej elektrociepłowni ANWIL S.A. zlokalizowanej na działkach ewidencyjnych nr 16, 38, 39 obręb 0008 Azoty we Włocławku”.</w:t>
      </w:r>
    </w:p>
    <w:p w14:paraId="761543CA" w14:textId="577D9AF7" w:rsidR="003D5B90" w:rsidRPr="008B55C6" w:rsidRDefault="003D5B90" w:rsidP="00177F94">
      <w:pPr>
        <w:spacing w:line="360" w:lineRule="auto"/>
        <w:rPr>
          <w:rFonts w:ascii="Arial" w:hAnsi="Arial" w:cs="Arial"/>
        </w:rPr>
      </w:pPr>
      <w:r w:rsidRPr="008B55C6">
        <w:rPr>
          <w:rFonts w:ascii="Arial" w:hAnsi="Arial" w:cs="Arial"/>
        </w:rPr>
        <w:br/>
        <w:t xml:space="preserve">Do wniosku o wydanie decyzji o środowiskowych uwarunkowaniach wnioskodawca załączył kartę informacyjną przedsięwzięcia oraz pozostałe załączniki. </w:t>
      </w:r>
    </w:p>
    <w:p w14:paraId="28D68715" w14:textId="77777777" w:rsidR="003D5B90" w:rsidRPr="008B55C6" w:rsidRDefault="003D5B90" w:rsidP="00177F94">
      <w:pPr>
        <w:spacing w:line="360" w:lineRule="auto"/>
        <w:rPr>
          <w:rFonts w:ascii="Arial" w:hAnsi="Arial" w:cs="Arial"/>
        </w:rPr>
      </w:pPr>
    </w:p>
    <w:p w14:paraId="4908FD48" w14:textId="77777777" w:rsidR="003D5B90" w:rsidRPr="008B55C6" w:rsidRDefault="003D5B90" w:rsidP="00177F94">
      <w:pPr>
        <w:spacing w:line="360" w:lineRule="auto"/>
        <w:rPr>
          <w:rFonts w:ascii="Arial" w:hAnsi="Arial" w:cs="Arial"/>
        </w:rPr>
      </w:pPr>
      <w:r w:rsidRPr="008B55C6">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78E98606" w14:textId="77777777" w:rsidR="003D5B90" w:rsidRPr="008B55C6" w:rsidRDefault="003D5B90" w:rsidP="00177F94">
      <w:pPr>
        <w:spacing w:line="360" w:lineRule="auto"/>
        <w:rPr>
          <w:rFonts w:ascii="Arial" w:hAnsi="Arial" w:cs="Arial"/>
        </w:rPr>
      </w:pPr>
    </w:p>
    <w:p w14:paraId="31C79056" w14:textId="050CED99" w:rsidR="003D5B90" w:rsidRPr="008B55C6" w:rsidRDefault="003D5B90" w:rsidP="00177F94">
      <w:pPr>
        <w:autoSpaceDE w:val="0"/>
        <w:autoSpaceDN w:val="0"/>
        <w:adjustRightInd w:val="0"/>
        <w:spacing w:line="360" w:lineRule="auto"/>
        <w:rPr>
          <w:rFonts w:ascii="Arial" w:hAnsi="Arial" w:cs="Arial"/>
        </w:rPr>
      </w:pPr>
      <w:r w:rsidRPr="008B55C6">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2023 r., poz. 1094 ze zm.). Ponadto przedmiotowe przedsięwzięcie sklasyfikowane zostało </w:t>
      </w:r>
      <w:r w:rsidRPr="008B55C6">
        <w:rPr>
          <w:rFonts w:ascii="Arial" w:hAnsi="Arial" w:cs="Arial"/>
        </w:rPr>
        <w:br/>
        <w:t>w rozporządzeniu Rady Ministrów z dnia 10 września 2019 r. w sprawie przedsięwzięć mogących znacząco oddziaływać na środowisko (Dz. U. z 2019 r., poz. 1839 j.t.) w § 3 ust. 2 pkt 1:</w:t>
      </w:r>
      <w:r w:rsidR="00177F94" w:rsidRPr="008B55C6">
        <w:rPr>
          <w:rFonts w:ascii="Arial" w:hAnsi="Arial" w:cs="Arial"/>
        </w:rPr>
        <w:t xml:space="preserve"> </w:t>
      </w:r>
      <w:r w:rsidRPr="008B55C6">
        <w:rPr>
          <w:rFonts w:ascii="Arial" w:hAnsi="Arial" w:cs="Arial"/>
        </w:rPr>
        <w:t xml:space="preserve">„przedsięwzięcia polegające na rozbudowie, przebudowie lub montażu realizowanego lub zrealizowanego przedsięwzięcia wymienionego w § 2 ust. 1 i niespełniające kryteriów, o których mowa w §2 ust. 2 pkt 1”, w związku z § 2 ust. 1 pkt 3: „elektrownie konwencjonalne, elektrociepłownie lub inne instalacje do spalania paliw w rozumieniu § 2 pkt 6 rozporządzenia Ministra Klimatu z dnia 24 września 2020 r. w sprawie standardów emisyjnych dla niektórych rodzajów instalacji, źródeł spalania paliw oraz urządzeń spalania lub współspalania odpadów (Dz. U. poz. 1860) z wyłączeniem odpadów niebędących biomasą w rozumieniu § 2 pkt 1 tego rozporządzenia, w celu wytwarzania energii elektrycznej lub cieplnej, o mocy cieplnej nie mniejszej niż 300 MW rozumianej jako ilość energii </w:t>
      </w:r>
      <w:r w:rsidRPr="008B55C6">
        <w:rPr>
          <w:rFonts w:ascii="Arial" w:hAnsi="Arial" w:cs="Arial"/>
        </w:rPr>
        <w:lastRenderedPageBreak/>
        <w:t xml:space="preserve">wprowadzonej w paliwie do instalacji w jednostce czasu przy nominalnym obciążeniu tych instalacji. </w:t>
      </w:r>
    </w:p>
    <w:p w14:paraId="4FF90C55" w14:textId="157309B8" w:rsidR="003D5B90" w:rsidRPr="008B55C6" w:rsidRDefault="003D5B90" w:rsidP="00177F94">
      <w:pPr>
        <w:spacing w:line="360" w:lineRule="auto"/>
        <w:rPr>
          <w:rFonts w:ascii="Arial" w:hAnsi="Arial" w:cs="Arial"/>
        </w:rPr>
      </w:pPr>
      <w:r w:rsidRPr="008B55C6">
        <w:rPr>
          <w:rFonts w:ascii="Arial" w:hAnsi="Arial" w:cs="Arial"/>
        </w:rPr>
        <w:br/>
        <w:t>Biorąc pod uwagę powyższą kwalifikację stwierdzono, że jest to przedsięwzięcie mogące potencjalnie znacząco oddziaływać na środowisko, dla którego raport o oddziaływaniu na środowisko może być wymagany.</w:t>
      </w:r>
      <w:r w:rsidR="00177F94" w:rsidRPr="008B55C6">
        <w:rPr>
          <w:rFonts w:ascii="Arial" w:hAnsi="Arial" w:cs="Arial"/>
        </w:rPr>
        <w:t xml:space="preserve"> </w:t>
      </w:r>
    </w:p>
    <w:p w14:paraId="205AF199" w14:textId="77777777" w:rsidR="003D5B90" w:rsidRPr="008B55C6" w:rsidRDefault="003D5B90" w:rsidP="00177F94">
      <w:pPr>
        <w:spacing w:line="360" w:lineRule="auto"/>
        <w:rPr>
          <w:rFonts w:ascii="Arial" w:hAnsi="Arial" w:cs="Arial"/>
        </w:rPr>
      </w:pPr>
    </w:p>
    <w:p w14:paraId="5BF33074" w14:textId="77777777" w:rsidR="003D5B90" w:rsidRPr="008B55C6" w:rsidRDefault="003D5B90" w:rsidP="00177F94">
      <w:pPr>
        <w:spacing w:line="360" w:lineRule="auto"/>
        <w:rPr>
          <w:rFonts w:ascii="Arial" w:hAnsi="Arial" w:cs="Arial"/>
        </w:rPr>
      </w:pPr>
      <w:r w:rsidRPr="008B55C6">
        <w:rPr>
          <w:rFonts w:ascii="Arial" w:hAnsi="Arial" w:cs="Arial"/>
        </w:rPr>
        <w:t>W dniu 19.02.2024 r. znak: S.6220.4.2024 zawiadomiono strony o wszczęciu postępowania administracyjnego. W wyznaczonym terminie nie zostały zgłoszone żadne uwagi i wnioski, co do realizacji planowanej inwestycji.</w:t>
      </w:r>
    </w:p>
    <w:p w14:paraId="1B96C2FC" w14:textId="77777777" w:rsidR="003D5B90" w:rsidRPr="008B55C6" w:rsidRDefault="003D5B90" w:rsidP="00177F94">
      <w:pPr>
        <w:spacing w:line="360" w:lineRule="auto"/>
        <w:rPr>
          <w:rFonts w:ascii="Arial" w:hAnsi="Arial" w:cs="Arial"/>
        </w:rPr>
      </w:pPr>
    </w:p>
    <w:p w14:paraId="01C30628" w14:textId="2A3CBE5E" w:rsidR="003D5B90" w:rsidRPr="008B55C6" w:rsidRDefault="003D5B90" w:rsidP="00177F94">
      <w:pPr>
        <w:spacing w:line="360" w:lineRule="auto"/>
        <w:rPr>
          <w:rFonts w:ascii="Arial" w:hAnsi="Arial" w:cs="Arial"/>
        </w:rPr>
      </w:pPr>
      <w:r w:rsidRPr="008B55C6">
        <w:rPr>
          <w:rFonts w:ascii="Arial" w:hAnsi="Arial" w:cs="Arial"/>
        </w:rPr>
        <w:t>Na podstawie art. 64 ust. 1 pkt 1, pkt 2, pkt 3 i pkt 4 ustawy o udostępnieniu informacji o środowisku i jego ochronie, udziale społeczeństwa w ochronie środowiska oraz o ocenach oddziaływania na środowisko, pismami z dnia 19.02.2024 r.</w:t>
      </w:r>
      <w:r w:rsidR="00177F94" w:rsidRPr="008B55C6">
        <w:rPr>
          <w:rFonts w:ascii="Arial" w:hAnsi="Arial" w:cs="Arial"/>
        </w:rPr>
        <w:t xml:space="preserve"> </w:t>
      </w:r>
      <w:r w:rsidRPr="008B55C6">
        <w:rPr>
          <w:rFonts w:ascii="Arial" w:hAnsi="Arial" w:cs="Arial"/>
        </w:rPr>
        <w:t>znak: S.6220.4.2024 organ prowadzący postępowanie wystąpił o opinię dotyczącą obowiązku przeprowadzenia oceny oddziaływania na środowisko oraz w przypadku stwierdzenia takiej potrzeby, o określenie zakresu raportu o oddziaływaniu na środowisko do Regionalnego Dyrektora Ochrony Środowiska w Bydgoszczy, Państwowego Powiatowego Inspektora Sanitarnego we Włocławku, Marszalka Województwa Kujawsko-Pomorskiego w Toruniu oraz do Państwowego Gospodarstwa Wodnego Wody Polskie Zarząd Zlewni we Toruniu.</w:t>
      </w:r>
    </w:p>
    <w:p w14:paraId="31CFE062" w14:textId="77777777" w:rsidR="003D5B90" w:rsidRPr="008B55C6" w:rsidRDefault="003D5B90" w:rsidP="00177F94">
      <w:pPr>
        <w:spacing w:line="360" w:lineRule="auto"/>
        <w:rPr>
          <w:rFonts w:ascii="Arial" w:hAnsi="Arial" w:cs="Arial"/>
        </w:rPr>
      </w:pPr>
    </w:p>
    <w:p w14:paraId="0EDFDDC2" w14:textId="77777777" w:rsidR="003D5B90" w:rsidRPr="008B55C6" w:rsidRDefault="003D5B90" w:rsidP="00177F94">
      <w:pPr>
        <w:spacing w:line="360" w:lineRule="auto"/>
        <w:rPr>
          <w:rFonts w:ascii="Arial" w:hAnsi="Arial" w:cs="Arial"/>
        </w:rPr>
      </w:pPr>
      <w:r w:rsidRPr="008B55C6">
        <w:rPr>
          <w:rFonts w:ascii="Arial" w:hAnsi="Arial" w:cs="Arial"/>
        </w:rPr>
        <w:t>Pismem z dnia 26.02.2024 r. znak: GR.ZZŚ.062.9.2024.AOT Państwowe Gospodarstwo Wodne Wody Polskie Zarząd Zlewni we Toruniu przekazał wystąpienie Prezydenta Miasta Włocławek do rozpatrzenia zgodnie z właściwością do Państwowego Gospodarstwa Wodnego Wody Polskie Regionalnego Zarządu Gospodarki Wodnej w Gdańsku.</w:t>
      </w:r>
    </w:p>
    <w:p w14:paraId="3D4B10E7" w14:textId="77777777" w:rsidR="003D5B90" w:rsidRPr="008B55C6" w:rsidRDefault="003D5B90" w:rsidP="00177F94">
      <w:pPr>
        <w:spacing w:line="360" w:lineRule="auto"/>
        <w:rPr>
          <w:rFonts w:ascii="Arial" w:hAnsi="Arial" w:cs="Arial"/>
        </w:rPr>
      </w:pPr>
    </w:p>
    <w:p w14:paraId="03D434F4" w14:textId="133F0979" w:rsidR="003D5B90" w:rsidRPr="008B55C6" w:rsidRDefault="003D5B90" w:rsidP="00177F94">
      <w:pPr>
        <w:spacing w:line="360" w:lineRule="auto"/>
        <w:rPr>
          <w:rFonts w:ascii="Arial" w:hAnsi="Arial" w:cs="Arial"/>
        </w:rPr>
      </w:pPr>
      <w:r w:rsidRPr="008B55C6">
        <w:rPr>
          <w:rFonts w:ascii="Arial" w:hAnsi="Arial" w:cs="Arial"/>
        </w:rPr>
        <w:t xml:space="preserve">Pismem z dnia 27.02.2024 r. znak: WOO.4220.126.2024.AG Regionalny Dyrektor Ochrony Środowiska w Bydgoszczy wezwał Prezydenta Miasta Włocławek do usunięcia braków we wniosku o wydanie opinii w kwestii przedłożenia karty informacyjnej przedsięwzięcia na informatycznym nośniku danych z jej zapisem w formie elektronicznej opatrzonej podpisem jej autora, zgodnie z art. 14 Kpa. </w:t>
      </w:r>
    </w:p>
    <w:p w14:paraId="7F002F9B" w14:textId="77777777" w:rsidR="003D5B90" w:rsidRPr="008B55C6" w:rsidRDefault="003D5B90" w:rsidP="00177F94">
      <w:pPr>
        <w:spacing w:line="360" w:lineRule="auto"/>
        <w:rPr>
          <w:rFonts w:ascii="Arial" w:hAnsi="Arial" w:cs="Arial"/>
        </w:rPr>
      </w:pPr>
    </w:p>
    <w:p w14:paraId="452F4BA3" w14:textId="77777777" w:rsidR="003D5B90" w:rsidRPr="008B55C6" w:rsidRDefault="003D5B90" w:rsidP="00177F94">
      <w:pPr>
        <w:spacing w:line="360" w:lineRule="auto"/>
        <w:rPr>
          <w:rFonts w:ascii="Arial" w:hAnsi="Arial" w:cs="Arial"/>
        </w:rPr>
      </w:pPr>
      <w:r w:rsidRPr="008B55C6">
        <w:rPr>
          <w:rFonts w:ascii="Arial" w:hAnsi="Arial" w:cs="Arial"/>
        </w:rPr>
        <w:lastRenderedPageBreak/>
        <w:t xml:space="preserve">Pismem z dnia 04.03.2024 r. nr 69/2024 wnioskodawca przedłożył do tut. organu uzupełnienie – 5 egzemplarzy płyt, na których znajduje się dokumentacja utrwalona w postaci elektronicznej opatrzona podpisem osobistym kierownika zespołu autorskiego. </w:t>
      </w:r>
    </w:p>
    <w:p w14:paraId="42758FA5" w14:textId="77777777" w:rsidR="003D5B90" w:rsidRPr="008B55C6" w:rsidRDefault="003D5B90" w:rsidP="00177F94">
      <w:pPr>
        <w:spacing w:line="360" w:lineRule="auto"/>
        <w:rPr>
          <w:rFonts w:ascii="Arial" w:hAnsi="Arial" w:cs="Arial"/>
        </w:rPr>
      </w:pPr>
    </w:p>
    <w:p w14:paraId="33148835" w14:textId="2247C49C" w:rsidR="003D5B90" w:rsidRPr="008B55C6" w:rsidRDefault="003D5B90" w:rsidP="00177F94">
      <w:pPr>
        <w:spacing w:line="360" w:lineRule="auto"/>
        <w:rPr>
          <w:rFonts w:ascii="Arial" w:hAnsi="Arial" w:cs="Arial"/>
        </w:rPr>
      </w:pPr>
      <w:r w:rsidRPr="008B55C6">
        <w:rPr>
          <w:rFonts w:ascii="Arial" w:hAnsi="Arial" w:cs="Arial"/>
        </w:rPr>
        <w:t>Pismami z dnia 05.03.2024 r. oraz</w:t>
      </w:r>
      <w:r w:rsidR="00177F94" w:rsidRPr="008B55C6">
        <w:rPr>
          <w:rFonts w:ascii="Arial" w:hAnsi="Arial" w:cs="Arial"/>
        </w:rPr>
        <w:t xml:space="preserve"> </w:t>
      </w:r>
      <w:r w:rsidRPr="008B55C6">
        <w:rPr>
          <w:rFonts w:ascii="Arial" w:hAnsi="Arial" w:cs="Arial"/>
        </w:rPr>
        <w:t xml:space="preserve">z dnia 08.03.2024 r. znak: S.6220.4.2024 Prezydent Miasta Włocławek przekazał do Regionalnego Dyrektora Ochrony Środowiska w Bydgoszczy zapis karty informacyjnej przedsięwzięcia na nośniku cyfrowym opatrzony podpisem osobistym kierownika zespołu autorskiego sporządzającego KIP. </w:t>
      </w:r>
    </w:p>
    <w:p w14:paraId="35BA15DF" w14:textId="77777777" w:rsidR="003D5B90" w:rsidRPr="008B55C6" w:rsidRDefault="003D5B90" w:rsidP="00177F94">
      <w:pPr>
        <w:spacing w:line="360" w:lineRule="auto"/>
        <w:rPr>
          <w:rFonts w:ascii="Arial" w:hAnsi="Arial" w:cs="Arial"/>
        </w:rPr>
      </w:pPr>
    </w:p>
    <w:p w14:paraId="3EE5E3D4" w14:textId="77777777" w:rsidR="003D5B90" w:rsidRPr="008B55C6" w:rsidRDefault="003D5B90" w:rsidP="00177F94">
      <w:pPr>
        <w:spacing w:line="360" w:lineRule="auto"/>
        <w:rPr>
          <w:rFonts w:ascii="Arial" w:hAnsi="Arial" w:cs="Arial"/>
        </w:rPr>
      </w:pPr>
      <w:r w:rsidRPr="008B55C6">
        <w:rPr>
          <w:rFonts w:ascii="Arial" w:hAnsi="Arial" w:cs="Arial"/>
        </w:rPr>
        <w:t xml:space="preserve">Uzupełnienia te przesłano także do pozostałych organów uzupełniająco-uzgadniających. </w:t>
      </w:r>
    </w:p>
    <w:p w14:paraId="1462115D" w14:textId="77777777" w:rsidR="003D5B90" w:rsidRPr="008B55C6" w:rsidRDefault="003D5B90" w:rsidP="00177F94">
      <w:pPr>
        <w:spacing w:line="360" w:lineRule="auto"/>
        <w:rPr>
          <w:rFonts w:ascii="Arial" w:hAnsi="Arial" w:cs="Arial"/>
        </w:rPr>
      </w:pPr>
    </w:p>
    <w:p w14:paraId="1140CBFE" w14:textId="77777777" w:rsidR="003D5B90" w:rsidRPr="008B55C6" w:rsidRDefault="003D5B90" w:rsidP="00177F94">
      <w:pPr>
        <w:spacing w:line="360" w:lineRule="auto"/>
        <w:rPr>
          <w:rFonts w:ascii="Arial" w:hAnsi="Arial" w:cs="Arial"/>
        </w:rPr>
      </w:pPr>
      <w:r w:rsidRPr="008B55C6">
        <w:rPr>
          <w:rFonts w:ascii="Arial" w:hAnsi="Arial" w:cs="Arial"/>
        </w:rPr>
        <w:t>Zawiadomieniem z dnia 29.02.2024 r. znak: ŚG-IV.720.5.2024 Marszałek Województwa Kujawsko-Pomorskiego w Toruniu powiadomił o przedłużeniu terminu wydania opinii, wyznaczając nowy termin załatwienia sprawy do 30.04.2024 r.</w:t>
      </w:r>
    </w:p>
    <w:p w14:paraId="7DDE9361" w14:textId="77777777" w:rsidR="003D5B90" w:rsidRPr="008B55C6" w:rsidRDefault="003D5B90" w:rsidP="00177F94">
      <w:pPr>
        <w:spacing w:line="360" w:lineRule="auto"/>
        <w:rPr>
          <w:rFonts w:ascii="Arial" w:hAnsi="Arial" w:cs="Arial"/>
        </w:rPr>
      </w:pPr>
    </w:p>
    <w:p w14:paraId="5EC8F4B6" w14:textId="789C58A6" w:rsidR="003D5B90" w:rsidRPr="008B55C6" w:rsidRDefault="003D5B90" w:rsidP="00177F94">
      <w:pPr>
        <w:spacing w:line="360" w:lineRule="auto"/>
        <w:rPr>
          <w:rFonts w:ascii="Arial" w:hAnsi="Arial" w:cs="Arial"/>
        </w:rPr>
      </w:pPr>
      <w:r w:rsidRPr="008B55C6">
        <w:rPr>
          <w:rFonts w:ascii="Arial" w:hAnsi="Arial" w:cs="Arial"/>
        </w:rPr>
        <w:t>Pismem z dnia 06.03.2024 r. znak: NNZ-42-05-33/24 L.dz.: 1415 Państwowy Powiatowy Inspektor Sanitarny we Włocławku wyraził opinię, że dla realizacji planowanej inwestycji, nie ma potrzeby przeprowadzenia</w:t>
      </w:r>
      <w:r w:rsidR="00177F94" w:rsidRPr="008B55C6">
        <w:rPr>
          <w:rFonts w:ascii="Arial" w:hAnsi="Arial" w:cs="Arial"/>
        </w:rPr>
        <w:t xml:space="preserve"> </w:t>
      </w:r>
      <w:r w:rsidRPr="008B55C6">
        <w:rPr>
          <w:rFonts w:ascii="Arial" w:hAnsi="Arial" w:cs="Arial"/>
        </w:rPr>
        <w:t>oceny oddziaływania na środowisko, jednocześnie wskazując na konieczność uwzględnienia w decyzji o środowiskowych uwarunkowaniach warunków i wymagań z zakresu projektu budowlanego. Warunki te zostały wpisane w sentencji niniejszej decyzji.</w:t>
      </w:r>
    </w:p>
    <w:p w14:paraId="5E60C959" w14:textId="77777777" w:rsidR="003D5B90" w:rsidRPr="008B55C6" w:rsidRDefault="003D5B90" w:rsidP="00177F94">
      <w:pPr>
        <w:spacing w:line="360" w:lineRule="auto"/>
        <w:rPr>
          <w:rFonts w:ascii="Arial" w:hAnsi="Arial" w:cs="Arial"/>
        </w:rPr>
      </w:pPr>
    </w:p>
    <w:p w14:paraId="4219565D" w14:textId="241DE73C" w:rsidR="003D5B90" w:rsidRPr="008B55C6" w:rsidRDefault="003D5B90" w:rsidP="00177F94">
      <w:pPr>
        <w:spacing w:line="360" w:lineRule="auto"/>
        <w:rPr>
          <w:rFonts w:ascii="Arial" w:hAnsi="Arial" w:cs="Arial"/>
        </w:rPr>
      </w:pPr>
      <w:r w:rsidRPr="008B55C6">
        <w:rPr>
          <w:rFonts w:ascii="Arial" w:hAnsi="Arial" w:cs="Arial"/>
        </w:rPr>
        <w:t xml:space="preserve">Pismem z dnia 18.03.2024 r. znak: G.RZŚ.4901.16.2024.WW Państwowe Gospodarstwo Wodne Wody Polskie Regionalny Zarząd Gospodarki Wodnej w Gdańsku wyraził opinię o braku potrzeby przeprowadzenia oceny oddziaływania na środowisko, zgłaszając warunki, które zostały wpisane do niniejszej decyzji. Wyjaśnienia wymaga fakt, że jeden z warunków ww. organu opiniującego, po konsultacji Pana Krzysztofa </w:t>
      </w:r>
      <w:proofErr w:type="spellStart"/>
      <w:r w:rsidRPr="008B55C6">
        <w:rPr>
          <w:rFonts w:ascii="Arial" w:hAnsi="Arial" w:cs="Arial"/>
        </w:rPr>
        <w:t>Madaj</w:t>
      </w:r>
      <w:proofErr w:type="spellEnd"/>
      <w:r w:rsidRPr="008B55C6">
        <w:rPr>
          <w:rFonts w:ascii="Arial" w:hAnsi="Arial" w:cs="Arial"/>
        </w:rPr>
        <w:t xml:space="preserve">, jednego z pełnomocników Inwestora z branżystami budowlanymi oraz z tut. organem, nie został uwzględniony w sentencji decyzji. Chodzi o zapis cytuję „Wykonać szczelne fundamenty pod rozbudowę hali - budynku nowej kotłowni”. W omawianej kwestii tut. organ przychylił się do </w:t>
      </w:r>
      <w:r w:rsidRPr="008B55C6">
        <w:rPr>
          <w:rFonts w:ascii="Arial" w:hAnsi="Arial" w:cs="Arial"/>
        </w:rPr>
        <w:lastRenderedPageBreak/>
        <w:t>zaproponowanego przez pełnomocnika Inwestora zapisu cytuję „W miejscach gdzie możliwy jest wyciek substancji niebezpiecznych do środowiska należy wykonać szczelne fundamenty w postaci wanny żelbetowej lub inne dodatkowe zabezpieczenia np. w postaci tacy ociekowej.”</w:t>
      </w:r>
    </w:p>
    <w:p w14:paraId="6113115D" w14:textId="77777777" w:rsidR="003D5B90" w:rsidRPr="008B55C6" w:rsidRDefault="003D5B90" w:rsidP="00177F94">
      <w:pPr>
        <w:spacing w:line="360" w:lineRule="auto"/>
        <w:rPr>
          <w:rFonts w:ascii="Arial" w:hAnsi="Arial" w:cs="Arial"/>
        </w:rPr>
      </w:pPr>
    </w:p>
    <w:p w14:paraId="338E05FC" w14:textId="5D8B742E" w:rsidR="003D5B90" w:rsidRPr="008B55C6" w:rsidRDefault="003D5B90" w:rsidP="00177F94">
      <w:pPr>
        <w:spacing w:line="360" w:lineRule="auto"/>
        <w:rPr>
          <w:rFonts w:ascii="Arial" w:hAnsi="Arial" w:cs="Arial"/>
        </w:rPr>
      </w:pPr>
      <w:r w:rsidRPr="008B55C6">
        <w:rPr>
          <w:rFonts w:ascii="Arial" w:hAnsi="Arial" w:cs="Arial"/>
        </w:rPr>
        <w:t xml:space="preserve">Ponadto, zaznaczenia wymaga fakt, iż opinia jest najsłabszą formą współdziałania pomiędzy </w:t>
      </w:r>
      <w:r w:rsidRPr="008B55C6">
        <w:rPr>
          <w:rStyle w:val="questionhighlight"/>
          <w:rFonts w:ascii="Arial" w:hAnsi="Arial" w:cs="Arial"/>
        </w:rPr>
        <w:t>organami</w:t>
      </w:r>
      <w:r w:rsidRPr="008B55C6">
        <w:rPr>
          <w:rFonts w:ascii="Arial" w:hAnsi="Arial" w:cs="Arial"/>
        </w:rPr>
        <w:t xml:space="preserve"> administracji publicznej i nie ma charakteru </w:t>
      </w:r>
      <w:r w:rsidRPr="008B55C6">
        <w:rPr>
          <w:rStyle w:val="questionhighlight"/>
          <w:rFonts w:ascii="Arial" w:hAnsi="Arial" w:cs="Arial"/>
        </w:rPr>
        <w:t>wiążącego</w:t>
      </w:r>
      <w:r w:rsidRPr="008B55C6">
        <w:rPr>
          <w:rFonts w:ascii="Arial" w:hAnsi="Arial" w:cs="Arial"/>
        </w:rPr>
        <w:t xml:space="preserve"> dla </w:t>
      </w:r>
      <w:r w:rsidRPr="008B55C6">
        <w:rPr>
          <w:rStyle w:val="questionhighlight"/>
          <w:rFonts w:ascii="Arial" w:hAnsi="Arial" w:cs="Arial"/>
        </w:rPr>
        <w:t>organu</w:t>
      </w:r>
      <w:r w:rsidRPr="008B55C6">
        <w:rPr>
          <w:rFonts w:ascii="Arial" w:hAnsi="Arial" w:cs="Arial"/>
        </w:rPr>
        <w:t xml:space="preserve"> prowadzącego postępowanie administracyjne w sprawie wydania decyzji o środowiskowych uwarunkowaniach. W niniejszej sprawie </w:t>
      </w:r>
      <w:r w:rsidRPr="008B55C6">
        <w:rPr>
          <w:rStyle w:val="questionhighlight"/>
          <w:rFonts w:ascii="Arial" w:hAnsi="Arial" w:cs="Arial"/>
        </w:rPr>
        <w:t>organ</w:t>
      </w:r>
      <w:r w:rsidRPr="008B55C6">
        <w:rPr>
          <w:rFonts w:ascii="Arial" w:hAnsi="Arial" w:cs="Arial"/>
        </w:rPr>
        <w:t xml:space="preserve"> </w:t>
      </w:r>
      <w:r w:rsidRPr="008B55C6">
        <w:rPr>
          <w:rStyle w:val="questionhighlight"/>
          <w:rFonts w:ascii="Arial" w:hAnsi="Arial" w:cs="Arial"/>
        </w:rPr>
        <w:t>Wód</w:t>
      </w:r>
      <w:r w:rsidR="00177F94" w:rsidRPr="008B55C6">
        <w:rPr>
          <w:rFonts w:ascii="Arial" w:hAnsi="Arial" w:cs="Arial"/>
        </w:rPr>
        <w:t xml:space="preserve"> </w:t>
      </w:r>
      <w:r w:rsidRPr="008B55C6">
        <w:rPr>
          <w:rStyle w:val="questionhighlight"/>
          <w:rFonts w:ascii="Arial" w:hAnsi="Arial" w:cs="Arial"/>
        </w:rPr>
        <w:t>Polskich</w:t>
      </w:r>
      <w:r w:rsidRPr="008B55C6">
        <w:rPr>
          <w:rFonts w:ascii="Arial" w:hAnsi="Arial" w:cs="Arial"/>
        </w:rPr>
        <w:t xml:space="preserve"> w opinii, </w:t>
      </w:r>
      <w:r w:rsidRPr="008B55C6">
        <w:rPr>
          <w:rStyle w:val="questionhighlight"/>
          <w:rFonts w:ascii="Arial" w:hAnsi="Arial" w:cs="Arial"/>
        </w:rPr>
        <w:t>wydanej</w:t>
      </w:r>
      <w:r w:rsidRPr="008B55C6">
        <w:rPr>
          <w:rFonts w:ascii="Arial" w:hAnsi="Arial" w:cs="Arial"/>
        </w:rPr>
        <w:t xml:space="preserve"> na podstawie art. 64 ust. 1 pkt 4 ustawy o udostępnianiu informacji o środowisku i jego ochronie, udziale społeczeństwa w ochronie środowiska oraz o ocenach oddziaływania na środowisko wskazał w niej warunki konieczne do uwzględnienia w </w:t>
      </w:r>
      <w:r w:rsidRPr="008B55C6">
        <w:rPr>
          <w:rStyle w:val="questionhighlight"/>
          <w:rFonts w:ascii="Arial" w:hAnsi="Arial" w:cs="Arial"/>
        </w:rPr>
        <w:t>decyzji</w:t>
      </w:r>
      <w:r w:rsidRPr="008B55C6">
        <w:rPr>
          <w:rFonts w:ascii="Arial" w:hAnsi="Arial" w:cs="Arial"/>
        </w:rPr>
        <w:t xml:space="preserve"> o </w:t>
      </w:r>
      <w:r w:rsidRPr="008B55C6">
        <w:rPr>
          <w:rStyle w:val="questionhighlight"/>
          <w:rFonts w:ascii="Arial" w:hAnsi="Arial" w:cs="Arial"/>
        </w:rPr>
        <w:t>środowiskowych</w:t>
      </w:r>
      <w:r w:rsidRPr="008B55C6">
        <w:rPr>
          <w:rFonts w:ascii="Arial" w:hAnsi="Arial" w:cs="Arial"/>
        </w:rPr>
        <w:t xml:space="preserve"> </w:t>
      </w:r>
      <w:r w:rsidRPr="008B55C6">
        <w:rPr>
          <w:rStyle w:val="questionhighlight"/>
          <w:rFonts w:ascii="Arial" w:hAnsi="Arial" w:cs="Arial"/>
        </w:rPr>
        <w:t>uwarunkowaniach</w:t>
      </w:r>
      <w:r w:rsidRPr="008B55C6">
        <w:rPr>
          <w:rFonts w:ascii="Arial" w:hAnsi="Arial" w:cs="Arial"/>
        </w:rPr>
        <w:t xml:space="preserve"> (dot. fazy realizacji i eksploatacji) stanowiące niejako element tej opinii (zgodnie z art. 64 ust. 3a </w:t>
      </w:r>
      <w:proofErr w:type="spellStart"/>
      <w:r w:rsidRPr="008B55C6">
        <w:rPr>
          <w:rFonts w:ascii="Arial" w:hAnsi="Arial" w:cs="Arial"/>
        </w:rPr>
        <w:t>u.o.o.ś</w:t>
      </w:r>
      <w:proofErr w:type="spellEnd"/>
      <w:r w:rsidRPr="008B55C6">
        <w:rPr>
          <w:rFonts w:ascii="Arial" w:hAnsi="Arial" w:cs="Arial"/>
        </w:rPr>
        <w:t xml:space="preserve">.) to zapisy te mają charakter poglądowy i nie muszą być uwzględnione przez </w:t>
      </w:r>
      <w:r w:rsidRPr="008B55C6">
        <w:rPr>
          <w:rStyle w:val="questionhighlight"/>
          <w:rFonts w:ascii="Arial" w:hAnsi="Arial" w:cs="Arial"/>
        </w:rPr>
        <w:t>organ</w:t>
      </w:r>
      <w:r w:rsidRPr="008B55C6">
        <w:rPr>
          <w:rFonts w:ascii="Arial" w:hAnsi="Arial" w:cs="Arial"/>
        </w:rPr>
        <w:t xml:space="preserve"> główny, który przecież ostatecznie będzie miał znacznie szersze rozpoznanie sprawy niż </w:t>
      </w:r>
      <w:r w:rsidRPr="008B55C6">
        <w:rPr>
          <w:rStyle w:val="questionhighlight"/>
          <w:rFonts w:ascii="Arial" w:hAnsi="Arial" w:cs="Arial"/>
        </w:rPr>
        <w:t>organ</w:t>
      </w:r>
      <w:r w:rsidRPr="008B55C6">
        <w:rPr>
          <w:rFonts w:ascii="Arial" w:hAnsi="Arial" w:cs="Arial"/>
        </w:rPr>
        <w:t xml:space="preserve"> współdziałający.</w:t>
      </w:r>
    </w:p>
    <w:p w14:paraId="6A886F48" w14:textId="77777777" w:rsidR="003D5B90" w:rsidRPr="008B55C6" w:rsidRDefault="003D5B90" w:rsidP="00177F94">
      <w:pPr>
        <w:spacing w:line="360" w:lineRule="auto"/>
        <w:rPr>
          <w:rFonts w:ascii="Arial" w:hAnsi="Arial" w:cs="Arial"/>
          <w:color w:val="FF0000"/>
        </w:rPr>
      </w:pPr>
    </w:p>
    <w:p w14:paraId="0F221C17" w14:textId="77777777" w:rsidR="003D5B90" w:rsidRPr="008B55C6" w:rsidRDefault="003D5B90" w:rsidP="00177F94">
      <w:pPr>
        <w:spacing w:line="360" w:lineRule="auto"/>
        <w:rPr>
          <w:rFonts w:ascii="Arial" w:hAnsi="Arial" w:cs="Arial"/>
        </w:rPr>
      </w:pPr>
      <w:r w:rsidRPr="008B55C6">
        <w:rPr>
          <w:rFonts w:ascii="Arial" w:hAnsi="Arial" w:cs="Arial"/>
        </w:rPr>
        <w:t xml:space="preserve">Spółka ANWIL S.A. pismem z dnia 22.03.2024 r. przedłożyła do tut. organu wniosek o dodanie pełnomocnictwa dla Pani Klary </w:t>
      </w:r>
      <w:proofErr w:type="spellStart"/>
      <w:r w:rsidRPr="008B55C6">
        <w:rPr>
          <w:rFonts w:ascii="Arial" w:hAnsi="Arial" w:cs="Arial"/>
        </w:rPr>
        <w:t>Kanderskiej</w:t>
      </w:r>
      <w:proofErr w:type="spellEnd"/>
      <w:r w:rsidRPr="008B55C6">
        <w:rPr>
          <w:rFonts w:ascii="Arial" w:hAnsi="Arial" w:cs="Arial"/>
        </w:rPr>
        <w:t xml:space="preserve">. </w:t>
      </w:r>
    </w:p>
    <w:p w14:paraId="2A9C464B" w14:textId="77777777" w:rsidR="003D5B90" w:rsidRPr="008B55C6" w:rsidRDefault="003D5B90" w:rsidP="00177F94">
      <w:pPr>
        <w:spacing w:line="360" w:lineRule="auto"/>
        <w:rPr>
          <w:rFonts w:ascii="Arial" w:hAnsi="Arial" w:cs="Arial"/>
        </w:rPr>
      </w:pPr>
    </w:p>
    <w:p w14:paraId="48417DF7" w14:textId="77777777" w:rsidR="003D5B90" w:rsidRPr="008B55C6" w:rsidRDefault="003D5B90" w:rsidP="00177F94">
      <w:pPr>
        <w:spacing w:line="360" w:lineRule="auto"/>
        <w:rPr>
          <w:rFonts w:ascii="Arial" w:hAnsi="Arial" w:cs="Arial"/>
        </w:rPr>
      </w:pPr>
      <w:r w:rsidRPr="008B55C6">
        <w:rPr>
          <w:rFonts w:ascii="Arial" w:hAnsi="Arial" w:cs="Arial"/>
        </w:rPr>
        <w:t xml:space="preserve">Zawiadomieniem z dnia 26.03.2024 r. znak: WOO.4220.126.2023.AG.2 Regionalny Dyrektor Ochrony Środowiska w Bydgoszczy poinformował o przedłużeniu terminu wydania opinii, wyznaczając nowy termin załatwienia sprawy do 08.04.2024 r. </w:t>
      </w:r>
    </w:p>
    <w:p w14:paraId="138A5AF4" w14:textId="77777777" w:rsidR="003D5B90" w:rsidRPr="008B55C6" w:rsidRDefault="003D5B90" w:rsidP="00177F94">
      <w:pPr>
        <w:spacing w:line="360" w:lineRule="auto"/>
        <w:rPr>
          <w:rFonts w:ascii="Arial" w:hAnsi="Arial" w:cs="Arial"/>
        </w:rPr>
      </w:pPr>
    </w:p>
    <w:p w14:paraId="3DCFFD89" w14:textId="77777777" w:rsidR="003D5B90" w:rsidRPr="008B55C6" w:rsidRDefault="003D5B90" w:rsidP="00177F94">
      <w:pPr>
        <w:spacing w:line="360" w:lineRule="auto"/>
        <w:rPr>
          <w:rFonts w:ascii="Arial" w:hAnsi="Arial" w:cs="Arial"/>
        </w:rPr>
      </w:pPr>
      <w:r w:rsidRPr="008B55C6">
        <w:rPr>
          <w:rFonts w:ascii="Arial" w:hAnsi="Arial" w:cs="Arial"/>
        </w:rPr>
        <w:t xml:space="preserve">Pismem z dnia 05.04.2024 r. znak: WOO.4220.126.2024.AG. 3 Regionalny Dyrektor Ochrony Środowiska w Bydgoszczy wezwał pełnomocnika Inwestora do uzupełnienia karty informacyjnej przedsięwzięcia. </w:t>
      </w:r>
    </w:p>
    <w:p w14:paraId="6F3E41C4" w14:textId="77777777" w:rsidR="003D5B90" w:rsidRPr="008B55C6" w:rsidRDefault="003D5B90" w:rsidP="00177F94">
      <w:pPr>
        <w:spacing w:line="360" w:lineRule="auto"/>
        <w:rPr>
          <w:rFonts w:ascii="Arial" w:hAnsi="Arial" w:cs="Arial"/>
        </w:rPr>
      </w:pPr>
    </w:p>
    <w:p w14:paraId="426DE39B" w14:textId="77777777" w:rsidR="003D5B90" w:rsidRPr="008B55C6" w:rsidRDefault="003D5B90" w:rsidP="00177F94">
      <w:pPr>
        <w:spacing w:line="360" w:lineRule="auto"/>
        <w:rPr>
          <w:rFonts w:ascii="Arial" w:hAnsi="Arial" w:cs="Arial"/>
        </w:rPr>
      </w:pPr>
      <w:r w:rsidRPr="008B55C6">
        <w:rPr>
          <w:rFonts w:ascii="Arial" w:hAnsi="Arial" w:cs="Arial"/>
        </w:rPr>
        <w:t xml:space="preserve">Pismem z dnia 08.04.2024 r. znak: ŚG-IV.7220.5.2024 Marszałek Województwa Kujawsko-Pomorskiego w Toruniu wezwał pełnomocnika Inwestora do uzupełnienia karty informacyjnej przedsięwzięcia. </w:t>
      </w:r>
    </w:p>
    <w:p w14:paraId="0CC17E43" w14:textId="77777777" w:rsidR="003D5B90" w:rsidRPr="008B55C6" w:rsidRDefault="003D5B90" w:rsidP="00177F94">
      <w:pPr>
        <w:spacing w:line="360" w:lineRule="auto"/>
        <w:rPr>
          <w:rFonts w:ascii="Arial" w:hAnsi="Arial" w:cs="Arial"/>
        </w:rPr>
      </w:pPr>
    </w:p>
    <w:p w14:paraId="761598B8" w14:textId="522E3232" w:rsidR="003D5B90" w:rsidRPr="008B55C6" w:rsidRDefault="003D5B90" w:rsidP="00177F94">
      <w:pPr>
        <w:spacing w:line="360" w:lineRule="auto"/>
        <w:rPr>
          <w:rFonts w:ascii="Arial" w:hAnsi="Arial" w:cs="Arial"/>
        </w:rPr>
      </w:pPr>
      <w:r w:rsidRPr="008B55C6">
        <w:rPr>
          <w:rFonts w:ascii="Arial" w:hAnsi="Arial" w:cs="Arial"/>
        </w:rPr>
        <w:lastRenderedPageBreak/>
        <w:t>Pismem z dnia 11.04.2024 r. znak: S.6220.4.2024 Prezydent Miasta Włocławek przekazał do wiadomości do organów opiniująco-uzgadniających wniosek inwestora: ANWIL S.A. o dodaniu</w:t>
      </w:r>
      <w:r w:rsidR="00177F94" w:rsidRPr="008B55C6">
        <w:rPr>
          <w:rFonts w:ascii="Arial" w:hAnsi="Arial" w:cs="Arial"/>
        </w:rPr>
        <w:t xml:space="preserve"> </w:t>
      </w:r>
      <w:r w:rsidRPr="008B55C6">
        <w:rPr>
          <w:rFonts w:ascii="Arial" w:hAnsi="Arial" w:cs="Arial"/>
        </w:rPr>
        <w:t xml:space="preserve">pełnomocnictwa dla Pani Klary </w:t>
      </w:r>
      <w:proofErr w:type="spellStart"/>
      <w:r w:rsidRPr="008B55C6">
        <w:rPr>
          <w:rFonts w:ascii="Arial" w:hAnsi="Arial" w:cs="Arial"/>
        </w:rPr>
        <w:t>Kanderskiej</w:t>
      </w:r>
      <w:proofErr w:type="spellEnd"/>
      <w:r w:rsidRPr="008B55C6">
        <w:rPr>
          <w:rFonts w:ascii="Arial" w:hAnsi="Arial" w:cs="Arial"/>
        </w:rPr>
        <w:t>.</w:t>
      </w:r>
    </w:p>
    <w:p w14:paraId="3590B684" w14:textId="77777777" w:rsidR="003D5B90" w:rsidRPr="008B55C6" w:rsidRDefault="003D5B90" w:rsidP="00177F94">
      <w:pPr>
        <w:spacing w:line="360" w:lineRule="auto"/>
        <w:rPr>
          <w:rFonts w:ascii="Arial" w:hAnsi="Arial" w:cs="Arial"/>
        </w:rPr>
      </w:pPr>
    </w:p>
    <w:p w14:paraId="0BB6C08C" w14:textId="636CE8C1" w:rsidR="003D5B90" w:rsidRPr="008B55C6" w:rsidRDefault="003D5B90" w:rsidP="00177F94">
      <w:pPr>
        <w:spacing w:line="360" w:lineRule="auto"/>
        <w:rPr>
          <w:rFonts w:ascii="Arial" w:hAnsi="Arial" w:cs="Arial"/>
        </w:rPr>
      </w:pPr>
      <w:r w:rsidRPr="008B55C6">
        <w:rPr>
          <w:rFonts w:ascii="Arial" w:hAnsi="Arial" w:cs="Arial"/>
        </w:rPr>
        <w:t>Zawiadomieniem z dnia 17.04.2024 r. znak: S.6220.4.2024 tut. organ zawiadomił strony postępowania o przedłużeniu terminu załatwienia niniejszej sprawy, z uwagi na konieczność uzyskania opinii co do obowiązku przeprowadzenia oceny oddziaływania na środowisko oraz ewentualnego zakresu raportu o oddziaływaniu na środowisko organu: Regionalny Dyrektor Ochrony Środowiska w Bydgoszczy oraz Marszałka Województwa Kujawsko-Pomorskiego w Toruniu.</w:t>
      </w:r>
      <w:r w:rsidR="00177F94" w:rsidRPr="008B55C6">
        <w:rPr>
          <w:rFonts w:ascii="Arial" w:hAnsi="Arial" w:cs="Arial"/>
        </w:rPr>
        <w:t xml:space="preserve"> </w:t>
      </w:r>
      <w:r w:rsidRPr="008B55C6">
        <w:rPr>
          <w:rFonts w:ascii="Arial" w:hAnsi="Arial" w:cs="Arial"/>
        </w:rPr>
        <w:t>Nowy termin załatwienia sprawy określono do dnia 31.05.2024 r.</w:t>
      </w:r>
    </w:p>
    <w:p w14:paraId="7D055F1F" w14:textId="77777777" w:rsidR="003D5B90" w:rsidRPr="008B55C6" w:rsidRDefault="003D5B90" w:rsidP="00177F94">
      <w:pPr>
        <w:spacing w:line="360" w:lineRule="auto"/>
        <w:rPr>
          <w:rFonts w:ascii="Arial" w:hAnsi="Arial" w:cs="Arial"/>
        </w:rPr>
      </w:pPr>
    </w:p>
    <w:p w14:paraId="521F252B" w14:textId="77777777" w:rsidR="003D5B90" w:rsidRPr="008B55C6" w:rsidRDefault="003D5B90" w:rsidP="00177F94">
      <w:pPr>
        <w:spacing w:line="360" w:lineRule="auto"/>
        <w:rPr>
          <w:rFonts w:ascii="Arial" w:hAnsi="Arial" w:cs="Arial"/>
        </w:rPr>
      </w:pPr>
      <w:r w:rsidRPr="008B55C6">
        <w:rPr>
          <w:rFonts w:ascii="Arial" w:hAnsi="Arial" w:cs="Arial"/>
        </w:rPr>
        <w:t>Zawiadomieniem z dnia 26.04.2024 r. znak: ŚG-IV.7220.5.2024 Marszałek Województwa Kujawsko-Pomorskiego w Toruniu powiadomił o przedłużeniu terminu wydania opinii, wyznaczając nowy termin załatwienia sprawy do 28.06.2024 r.</w:t>
      </w:r>
    </w:p>
    <w:p w14:paraId="0FE1B4AC" w14:textId="77777777" w:rsidR="003D5B90" w:rsidRPr="008B55C6" w:rsidRDefault="003D5B90" w:rsidP="00177F94">
      <w:pPr>
        <w:spacing w:line="360" w:lineRule="auto"/>
        <w:rPr>
          <w:rFonts w:ascii="Arial" w:hAnsi="Arial" w:cs="Arial"/>
        </w:rPr>
      </w:pPr>
    </w:p>
    <w:p w14:paraId="60DCD9FD" w14:textId="7E9F1DDF" w:rsidR="003D5B90" w:rsidRPr="008B55C6" w:rsidRDefault="003D5B90" w:rsidP="00177F94">
      <w:pPr>
        <w:spacing w:line="360" w:lineRule="auto"/>
        <w:rPr>
          <w:rFonts w:ascii="Arial" w:hAnsi="Arial" w:cs="Arial"/>
        </w:rPr>
      </w:pPr>
      <w:r w:rsidRPr="008B55C6">
        <w:rPr>
          <w:rFonts w:ascii="Arial" w:hAnsi="Arial" w:cs="Arial"/>
        </w:rPr>
        <w:t xml:space="preserve">Pismami z dnia 06.05.2024 r. Pani Klara </w:t>
      </w:r>
      <w:proofErr w:type="spellStart"/>
      <w:r w:rsidRPr="008B55C6">
        <w:rPr>
          <w:rFonts w:ascii="Arial" w:hAnsi="Arial" w:cs="Arial"/>
        </w:rPr>
        <w:t>Kanderska</w:t>
      </w:r>
      <w:proofErr w:type="spellEnd"/>
      <w:r w:rsidRPr="008B55C6">
        <w:rPr>
          <w:rFonts w:ascii="Arial" w:hAnsi="Arial" w:cs="Arial"/>
        </w:rPr>
        <w:t xml:space="preserve">, pełnomocnik Inwestora: ANWIL S.A., przedłożyła uzupełnienia karty informacyjnej przedsięwzięcia do Regionalnego Dyrektora Ochrony Środowiska w Bydgoszczy oraz do Marszałka Województwa Kujawsko-Pomorskiego w Toruniu, zgodnie z wezwaniami. </w:t>
      </w:r>
    </w:p>
    <w:p w14:paraId="13A39EE5" w14:textId="77777777" w:rsidR="003D5B90" w:rsidRPr="008B55C6" w:rsidRDefault="003D5B90" w:rsidP="00177F94">
      <w:pPr>
        <w:spacing w:line="360" w:lineRule="auto"/>
        <w:rPr>
          <w:rFonts w:ascii="Arial" w:hAnsi="Arial" w:cs="Arial"/>
        </w:rPr>
      </w:pPr>
    </w:p>
    <w:p w14:paraId="071384D2" w14:textId="5BE68660" w:rsidR="003D5B90" w:rsidRPr="008B55C6" w:rsidRDefault="003D5B90" w:rsidP="00177F94">
      <w:pPr>
        <w:spacing w:line="360" w:lineRule="auto"/>
        <w:rPr>
          <w:rFonts w:ascii="Arial" w:hAnsi="Arial" w:cs="Arial"/>
        </w:rPr>
      </w:pPr>
      <w:r w:rsidRPr="008B55C6">
        <w:rPr>
          <w:rFonts w:ascii="Arial" w:hAnsi="Arial" w:cs="Arial"/>
        </w:rPr>
        <w:t>Postanowieniem z dnia 22.05.2024 r. znak: WOO.4220.126.2024.AG.4 Regionalny Dyrektor Ochrony Środowiska w Bydgoszczy wyraził opinię, że dla realizacji planowanej inwestycji, nie istnieje konieczność</w:t>
      </w:r>
      <w:r w:rsidR="00177F94" w:rsidRPr="008B55C6">
        <w:rPr>
          <w:rFonts w:ascii="Arial" w:hAnsi="Arial" w:cs="Arial"/>
        </w:rPr>
        <w:t xml:space="preserve"> </w:t>
      </w:r>
      <w:r w:rsidRPr="008B55C6">
        <w:rPr>
          <w:rFonts w:ascii="Arial" w:hAnsi="Arial" w:cs="Arial"/>
        </w:rPr>
        <w:t xml:space="preserve">przeprowadzenia oceny oddziaływania na środowisko, określając wymagania dotyczące ochrony środowiska konieczne do uwzględnienia w decyzji o środowiskowych uwarunkowaniach, w dokumentacji wymaganej do wydania decyzji, o których mowa w art. 64 ust. 3a </w:t>
      </w:r>
      <w:proofErr w:type="spellStart"/>
      <w:r w:rsidRPr="008B55C6">
        <w:rPr>
          <w:rFonts w:ascii="Arial" w:hAnsi="Arial" w:cs="Arial"/>
        </w:rPr>
        <w:t>uouioś</w:t>
      </w:r>
      <w:proofErr w:type="spellEnd"/>
      <w:r w:rsidRPr="008B55C6">
        <w:rPr>
          <w:rFonts w:ascii="Arial" w:hAnsi="Arial" w:cs="Arial"/>
        </w:rPr>
        <w:t xml:space="preserve">, w szczególności istotne warunki korzystania ze środowiska w fazie realizacji i eksploatacji lub użytkowania przedsięwzięcia, ze szczególnym uwzględnieniem konieczności ochrony cennych wartości przyrodniczych, zasobów naturalnych i zabytków oraz wymagania dotyczące ochrony środowiska konieczne do uwzględnienia w dokumentacji wymaganej do wydania decyzji, o których mowa w art. 72 ust. 1 </w:t>
      </w:r>
      <w:proofErr w:type="spellStart"/>
      <w:r w:rsidRPr="008B55C6">
        <w:rPr>
          <w:rFonts w:ascii="Arial" w:hAnsi="Arial" w:cs="Arial"/>
        </w:rPr>
        <w:t>iouioś</w:t>
      </w:r>
      <w:proofErr w:type="spellEnd"/>
      <w:r w:rsidRPr="008B55C6">
        <w:rPr>
          <w:rFonts w:ascii="Arial" w:hAnsi="Arial" w:cs="Arial"/>
        </w:rPr>
        <w:t xml:space="preserve"> (…). Warunki te zostały wpisane w sentencji niniejszej decyzji.</w:t>
      </w:r>
    </w:p>
    <w:p w14:paraId="12DB26A9" w14:textId="77777777" w:rsidR="003D5B90" w:rsidRPr="008B55C6" w:rsidRDefault="003D5B90" w:rsidP="00177F94">
      <w:pPr>
        <w:spacing w:line="360" w:lineRule="auto"/>
        <w:rPr>
          <w:rFonts w:ascii="Arial" w:hAnsi="Arial" w:cs="Arial"/>
        </w:rPr>
      </w:pPr>
    </w:p>
    <w:p w14:paraId="7C66E7F9" w14:textId="77777777" w:rsidR="003D5B90" w:rsidRPr="008B55C6" w:rsidRDefault="003D5B90" w:rsidP="00177F94">
      <w:pPr>
        <w:spacing w:line="360" w:lineRule="auto"/>
        <w:rPr>
          <w:rFonts w:ascii="Arial" w:hAnsi="Arial" w:cs="Arial"/>
        </w:rPr>
      </w:pPr>
      <w:r w:rsidRPr="008B55C6">
        <w:rPr>
          <w:rFonts w:ascii="Arial" w:hAnsi="Arial" w:cs="Arial"/>
        </w:rPr>
        <w:lastRenderedPageBreak/>
        <w:t xml:space="preserve">Postanowieniem z dnia 22.05.2024 r. znak: ŚG-IV.7220.5.2024 Marszałek Województwa Kujawsko-Pomorskiego w Toruniu wyraził opinię, że dla realizacji zamierzenia inwestycyjnego nie ma obowiązku przeprowadzenia oceny oddziaływania na środowisko, nie zgłaszając warunków, które powinny być wpisane w niniejszej decyzji. </w:t>
      </w:r>
    </w:p>
    <w:p w14:paraId="12DE3FB5" w14:textId="77777777" w:rsidR="003D5B90" w:rsidRPr="008B55C6" w:rsidRDefault="003D5B90" w:rsidP="00177F94">
      <w:pPr>
        <w:spacing w:line="360" w:lineRule="auto"/>
        <w:rPr>
          <w:rFonts w:ascii="Arial" w:hAnsi="Arial" w:cs="Arial"/>
        </w:rPr>
      </w:pPr>
    </w:p>
    <w:p w14:paraId="733ECD28" w14:textId="4E4F6C7D" w:rsidR="003D5B90" w:rsidRPr="008B55C6" w:rsidRDefault="003D5B90" w:rsidP="00177F94">
      <w:pPr>
        <w:spacing w:line="360" w:lineRule="auto"/>
        <w:rPr>
          <w:rFonts w:ascii="Arial" w:hAnsi="Arial" w:cs="Arial"/>
          <w:color w:val="000000"/>
        </w:rPr>
      </w:pPr>
      <w:r w:rsidRPr="008B55C6">
        <w:rPr>
          <w:rFonts w:ascii="Arial" w:hAnsi="Arial" w:cs="Arial"/>
        </w:rPr>
        <w:t>Dopełniono także procedury określonej w art. 10 ustawy Kodeks postępowania administracyjnego, mianowicie w dniu 03.06.2024 r. znak: S.6220.4.2024 zawiadomiono o zakończeniu postępowania.</w:t>
      </w:r>
      <w:r w:rsidRPr="008B55C6">
        <w:rPr>
          <w:rFonts w:ascii="Arial" w:hAnsi="Arial" w:cs="Arial"/>
          <w:color w:val="000000"/>
        </w:rPr>
        <w:t xml:space="preserve"> W wyznaczonym terminie nie zostały zgłoszone żadne zastrzeżenia, co do planowanego przedsięwzięcia.</w:t>
      </w:r>
    </w:p>
    <w:p w14:paraId="4B515F88" w14:textId="77777777" w:rsidR="003D5B90" w:rsidRPr="008B55C6" w:rsidRDefault="003D5B90" w:rsidP="00177F94">
      <w:pPr>
        <w:spacing w:line="360" w:lineRule="auto"/>
        <w:rPr>
          <w:rFonts w:ascii="Arial" w:hAnsi="Arial" w:cs="Arial"/>
          <w:color w:val="000000"/>
        </w:rPr>
      </w:pPr>
    </w:p>
    <w:p w14:paraId="0BCAC2BF" w14:textId="52ED9420" w:rsidR="003D5B90" w:rsidRPr="008B55C6" w:rsidRDefault="003D5B90" w:rsidP="00177F94">
      <w:pPr>
        <w:spacing w:line="360" w:lineRule="auto"/>
        <w:rPr>
          <w:rFonts w:ascii="Arial" w:hAnsi="Arial" w:cs="Arial"/>
        </w:rPr>
      </w:pPr>
      <w:r w:rsidRPr="008B55C6">
        <w:rPr>
          <w:rFonts w:ascii="Arial" w:hAnsi="Arial" w:cs="Arial"/>
        </w:rPr>
        <w:t>Analizując wskazane wyżej opinie i uzgodnienia Regionalnego Dyrektora Ochrony Środowiska w Bydgoszczy, Państwowego Powiatowego Inspektora Sanitarnego we Włocławku,</w:t>
      </w:r>
      <w:r w:rsidR="00177F94" w:rsidRPr="008B55C6">
        <w:rPr>
          <w:rFonts w:ascii="Arial" w:hAnsi="Arial" w:cs="Arial"/>
        </w:rPr>
        <w:t xml:space="preserve"> </w:t>
      </w:r>
      <w:r w:rsidRPr="008B55C6">
        <w:rPr>
          <w:rFonts w:ascii="Arial" w:hAnsi="Arial" w:cs="Arial"/>
        </w:rPr>
        <w:t>Marszalka Województwa Kujawsko-Pomorskiego w Toruniu oraz Państwowego Gospodarstwa Wodnego Wody Polskie Regionalny Zarząd Gospodarki Wodnej w Gdańsku, tut. organ wziął pod uwagę rodzaj, skalę oraz usytuowanie planowanego przedsięwzięcia i stwierdził, że przedmiotowa inwestycja nie będzie miała negatywnego wpływu na poszczególne elementy środowiska, dlatego też nie zachodzi konieczność przeprowadzenia oceny oddziaływania przedsięwzięcia na środowisko.</w:t>
      </w:r>
    </w:p>
    <w:p w14:paraId="7C9DC0CC" w14:textId="77777777" w:rsidR="003D5B90" w:rsidRPr="008B55C6" w:rsidRDefault="003D5B90" w:rsidP="00177F94">
      <w:pPr>
        <w:spacing w:line="360" w:lineRule="auto"/>
        <w:rPr>
          <w:rFonts w:ascii="Arial" w:hAnsi="Arial" w:cs="Arial"/>
        </w:rPr>
      </w:pPr>
    </w:p>
    <w:p w14:paraId="4AFA40C7" w14:textId="5B071BED" w:rsidR="003D5B90" w:rsidRPr="008B55C6" w:rsidRDefault="003D5B90" w:rsidP="00177F94">
      <w:pPr>
        <w:spacing w:line="360" w:lineRule="auto"/>
        <w:rPr>
          <w:rFonts w:ascii="Arial" w:hAnsi="Arial" w:cs="Arial"/>
        </w:rPr>
      </w:pPr>
      <w:r w:rsidRPr="008B55C6">
        <w:rPr>
          <w:rFonts w:ascii="Arial" w:hAnsi="Arial" w:cs="Arial"/>
        </w:rPr>
        <w:t>Zgodnie z art. 85 ust. 2 pkt 2 ustawy o udostępnieniu informacji o środowisku i jego ochronie, udziale społeczeństwa w ochronie środowiska oraz o ocenach oddziaływania na środowisko, w niniejszym postępowaniu uwzględniono zapisy art. 63 ust. 1 cytowanej ustawy, tj.:</w:t>
      </w:r>
    </w:p>
    <w:p w14:paraId="7D93F711" w14:textId="77777777" w:rsidR="003D5B90" w:rsidRPr="008B55C6" w:rsidRDefault="003D5B90" w:rsidP="00177F94">
      <w:pPr>
        <w:spacing w:line="360" w:lineRule="auto"/>
        <w:rPr>
          <w:rFonts w:ascii="Arial" w:hAnsi="Arial" w:cs="Arial"/>
        </w:rPr>
      </w:pPr>
    </w:p>
    <w:p w14:paraId="307A532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bookmarkStart w:id="1" w:name="_Hlk155333507"/>
      <w:r w:rsidRPr="008B55C6">
        <w:rPr>
          <w:rFonts w:ascii="Arial" w:eastAsiaTheme="minorHAnsi" w:hAnsi="Arial" w:cs="Arial"/>
          <w:color w:val="000000"/>
          <w:lang w:eastAsia="en-US"/>
        </w:rPr>
        <w:t>Planowane zamierzenie polega na budowie kotłowni szczytowo - rezerwowej, opalanej gazem ziemnym, w skład której wchodzą:</w:t>
      </w:r>
    </w:p>
    <w:p w14:paraId="5FD4719B" w14:textId="77777777" w:rsidR="003D5B90" w:rsidRPr="008B55C6" w:rsidRDefault="003D5B90" w:rsidP="00177F94">
      <w:pPr>
        <w:pStyle w:val="Akapitzlist"/>
        <w:numPr>
          <w:ilvl w:val="0"/>
          <w:numId w:val="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K-5 o mocy cieplnej ok. 40 MW i wydajności brutto ok. 57 Mg/h,</w:t>
      </w:r>
    </w:p>
    <w:p w14:paraId="741725DE" w14:textId="77777777" w:rsidR="003D5B90" w:rsidRPr="008B55C6" w:rsidRDefault="003D5B90" w:rsidP="00177F94">
      <w:pPr>
        <w:pStyle w:val="Akapitzlist"/>
        <w:numPr>
          <w:ilvl w:val="0"/>
          <w:numId w:val="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K-6 o mocy cieplnej ok. 40 MW lub ok. 46 MW i wydajności brutto ok. 57 Mg/h,</w:t>
      </w:r>
    </w:p>
    <w:p w14:paraId="37149854" w14:textId="77777777" w:rsidR="003D5B90" w:rsidRPr="008B55C6" w:rsidRDefault="003D5B90" w:rsidP="00177F94">
      <w:pPr>
        <w:pStyle w:val="Akapitzlist"/>
        <w:numPr>
          <w:ilvl w:val="0"/>
          <w:numId w:val="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K-7 o mocy cieplnej ok. 46 MW i wydajności brutto ok. 57 Mg/h.</w:t>
      </w:r>
    </w:p>
    <w:p w14:paraId="2C24B0E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6A32DF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 xml:space="preserve">Kotły wytwarzać będą parę o maksymalnym ciśnieniu nie większym niż 1,1 i 4,3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w:t>
      </w:r>
    </w:p>
    <w:p w14:paraId="0D2812D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568547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Łączna moc cieplna planowanej kotłowni wyniesie maksymalnie ok. 132 MW, co będzie odpowiadać mocy w dostarczonym paliwie na poziomie ok. 139,1 MW. Urządzenia wytwórcze i infrastruktura towarzysząca nowej kotłowni będą stanowiły integralną część istniejącej Elektrociepłowni ANWIL S.A.</w:t>
      </w:r>
    </w:p>
    <w:p w14:paraId="1E7E460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D52709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Celem inwestycji jest zapewnienie odpowiedniej ilości pary dla potrzeb instalacji technologicznych ANWIL S.A. oraz odbiorców zewnętrznych. W wyniku rozbudowy Instalacji spalania paliw - Elektrociepłowni zwiększy się moc produkcyjna energii cieplnej z obecnej zdolności 7 812 168 GJ na 12 436 572 GJ.</w:t>
      </w:r>
    </w:p>
    <w:p w14:paraId="0EB5FAB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661132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stanie aktualnym zdolność produkcyjna Elektrociepłowni wynosi 250 Mg/h pary.</w:t>
      </w:r>
    </w:p>
    <w:p w14:paraId="0529A27B"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Bieżące obciążenie cieplne i wynikające z niego obciążenie elektryczne uzależnione jest od aktualnych potrzeb Zakładu, wynikających z sytuacji produkcyjnej i pory roku (sezon grzewczy). Instalację spalania paliw - Elektrociepłownię tworzą następujące źródła:</w:t>
      </w:r>
    </w:p>
    <w:p w14:paraId="294B0959" w14:textId="77777777"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K-1 (OOG-260) o mocy 200 MW,</w:t>
      </w:r>
    </w:p>
    <w:p w14:paraId="3EB26BCE" w14:textId="77777777"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K-3 (HS WZ 01) o mocy 24,16 MW,</w:t>
      </w:r>
    </w:p>
    <w:p w14:paraId="5DDE9AD2" w14:textId="77777777"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K-4 (HS WZ 01) o mocy 24,16 MW,</w:t>
      </w:r>
    </w:p>
    <w:p w14:paraId="3FE65417" w14:textId="77777777"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KM-1 (kocioł mobilny - BWR 150) o mocy 10,254 MW,</w:t>
      </w:r>
    </w:p>
    <w:p w14:paraId="0234BC1E" w14:textId="77777777"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kocioł parowy KM-2 (kocioł mobilny - BWR 150) o mocy 10,254 MW,</w:t>
      </w:r>
    </w:p>
    <w:p w14:paraId="6C98136F" w14:textId="3693E960" w:rsidR="003D5B90" w:rsidRPr="008B55C6" w:rsidRDefault="003D5B90" w:rsidP="00177F94">
      <w:pPr>
        <w:pStyle w:val="Akapitzlist"/>
        <w:numPr>
          <w:ilvl w:val="0"/>
          <w:numId w:val="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przegrzewacz pary PP (kocioł mobilny TPC SS) o mocy 1,3 MW, wraz z niezbędną infrastrukturą.</w:t>
      </w:r>
    </w:p>
    <w:p w14:paraId="212E7D3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F876701" w14:textId="3AC73C26"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 Instalacji spalania paliw - Elektrociepłowni przynależy również kocioł K-2 o mocy 200 MW który na chwilę obecną nie jest eksploatowany. Podstawowym zadaniem Elektrociepłowni jest wytworzenie energii cieplnej wykorzystywanej w instalacjach produkcyjnych ANWIL S.A. oraz przez odbiorców zewnętrznych. Dodatkowo w skojarzeniu, w Elektrociepłowni może być produkowana energia elektryczna. Zakładany roczny czas pracy instalacji wynosi 8 760 h. Podstawowym paliwem dla wszystkich kotłów jest gaz ziemny.</w:t>
      </w:r>
    </w:p>
    <w:p w14:paraId="58873CA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72F6BDF" w14:textId="3149FD1E"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Kocioł K-1 wytwarza tzw. parę świeżą o ciśnieniu 9,6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i temperaturze 525 ÷ 540⁰C, a kotły K-3 i K-4 parę świeżą o ciśnieniu 4,0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i temperaturze 450⁰C. Uzupełnienie mocy zapewniają mobilne kotły KM-1 i KM-2 wytwarzające parę świeżą o ciśnieniu maksymalnym 2,6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i temperaturze maksymalnej 228⁰C, natomiast para z przegrzewacza ma maksymalne ciśnienie 3,0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i maksymalną temperaturę 350⁰C. Para z kotła K-1 kierowana jest do stacji </w:t>
      </w:r>
      <w:proofErr w:type="spellStart"/>
      <w:r w:rsidRPr="008B55C6">
        <w:rPr>
          <w:rFonts w:ascii="Arial" w:eastAsiaTheme="minorHAnsi" w:hAnsi="Arial" w:cs="Arial"/>
          <w:color w:val="000000"/>
          <w:lang w:eastAsia="en-US"/>
        </w:rPr>
        <w:t>redukcyjno</w:t>
      </w:r>
      <w:proofErr w:type="spellEnd"/>
      <w:r w:rsidRPr="008B55C6">
        <w:rPr>
          <w:rFonts w:ascii="Arial" w:eastAsiaTheme="minorHAnsi" w:hAnsi="Arial" w:cs="Arial"/>
          <w:color w:val="000000"/>
          <w:lang w:eastAsia="en-US"/>
        </w:rPr>
        <w:t xml:space="preserve">-schładzających (SRS) lub turbogeneratorów TG-1 i (lub) TG-2. Para z kotłów K-3, K-4 kierowana jest bezpośrednio do sieci ogólnozakładowej lub do stacji </w:t>
      </w:r>
      <w:proofErr w:type="spellStart"/>
      <w:r w:rsidRPr="008B55C6">
        <w:rPr>
          <w:rFonts w:ascii="Arial" w:eastAsiaTheme="minorHAnsi" w:hAnsi="Arial" w:cs="Arial"/>
          <w:color w:val="000000"/>
          <w:lang w:eastAsia="en-US"/>
        </w:rPr>
        <w:t>redukcyjno</w:t>
      </w:r>
      <w:proofErr w:type="spellEnd"/>
      <w:r w:rsidRPr="008B55C6">
        <w:rPr>
          <w:rFonts w:ascii="Arial" w:eastAsiaTheme="minorHAnsi" w:hAnsi="Arial" w:cs="Arial"/>
          <w:color w:val="000000"/>
          <w:lang w:eastAsia="en-US"/>
        </w:rPr>
        <w:t xml:space="preserve">-schładzających dedykowanych dla tych kotłów. Mobilne kotły wraz </w:t>
      </w:r>
      <w:r w:rsidRPr="008B55C6">
        <w:rPr>
          <w:rFonts w:ascii="Arial" w:eastAsiaTheme="minorHAnsi" w:hAnsi="Arial" w:cs="Arial"/>
          <w:color w:val="000000"/>
          <w:lang w:eastAsia="en-US"/>
        </w:rPr>
        <w:br/>
        <w:t xml:space="preserve">z przegrzewaczem stanowią uzupełnienie zasilania instalacji produkcyjnych w czasie postoju instalacji dostarczającej niezbędne media od dostawcy zewnętrznego (blok </w:t>
      </w:r>
      <w:proofErr w:type="spellStart"/>
      <w:r w:rsidRPr="008B55C6">
        <w:rPr>
          <w:rFonts w:ascii="Arial" w:eastAsiaTheme="minorHAnsi" w:hAnsi="Arial" w:cs="Arial"/>
          <w:color w:val="000000"/>
          <w:lang w:eastAsia="en-US"/>
        </w:rPr>
        <w:t>parowogazowy</w:t>
      </w:r>
      <w:proofErr w:type="spellEnd"/>
      <w:r w:rsidRPr="008B55C6">
        <w:rPr>
          <w:rFonts w:ascii="Arial" w:eastAsiaTheme="minorHAnsi" w:hAnsi="Arial" w:cs="Arial"/>
          <w:color w:val="000000"/>
          <w:lang w:eastAsia="en-US"/>
        </w:rPr>
        <w:t xml:space="preserve"> ORLEN S.A.). W przypadku skierowania pary do turbogeneratorów, dzięki przemianom energetycznym uzyskuje się parę o parametrach dostosowanych do wymagań odbiorców oraz energię elektryczną o parametrach standardowych dla krajowego systemu elektroenergetycznego.</w:t>
      </w:r>
    </w:p>
    <w:p w14:paraId="514A3E9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85065B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Instalacji spalania paliw – Elektrociepłowni może być wykorzystywany dodatkowy turbogenerator TG-4, który pracuje na nadwyżce pary podawanej z instalacji nawozowych. Oprócz ww. urządzeń podstawowych, w skład Elektrociepłowni wchodzą również urządzenia i instalacje pomocnicze obejmujące gospodarkę paliwową, wodno-ściekową, cieplną i elektryczną (w tym sieci elektryczne).</w:t>
      </w:r>
    </w:p>
    <w:p w14:paraId="2F5A500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6BC173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ramach inwestycji planowana jest budowa nowego obiektu, zaprojektowanego w sposób umożliwiający rozmieszczenie wewnątrz trzech kotłów wraz z infrastrukturą pomocniczą oraz z wydzielonymi pomieszczeniami techniczno-socjalnymi (nastawnia, serwerownia, kuchnia z jadalnią, szatnie, toalety, rozdzielnia, itp.).</w:t>
      </w:r>
    </w:p>
    <w:p w14:paraId="68D4A06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01A8B6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budynku kotłowni znajdą się m.in. następujące urządzenia:</w:t>
      </w:r>
    </w:p>
    <w:p w14:paraId="55639FAD"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trzy kotły parowe o wydajności brutto ok. 57 Mg/h każdy,</w:t>
      </w:r>
    </w:p>
    <w:p w14:paraId="69F189D6"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trzy zbiorniki wody zasilającej z odgazowywaczami,</w:t>
      </w:r>
    </w:p>
    <w:p w14:paraId="7241B659"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stacja korekcji wody,</w:t>
      </w:r>
    </w:p>
    <w:p w14:paraId="5DFD6BD7"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pompy wody zasilającej – po dwie pompy dla każdego z kotłów,</w:t>
      </w:r>
    </w:p>
    <w:p w14:paraId="5E1F0C84"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 xml:space="preserve">dwie stacje </w:t>
      </w:r>
      <w:proofErr w:type="spellStart"/>
      <w:r w:rsidRPr="008B55C6">
        <w:rPr>
          <w:rFonts w:ascii="Arial" w:eastAsiaTheme="minorHAnsi" w:hAnsi="Arial" w:cs="Arial"/>
          <w:color w:val="000000"/>
          <w:lang w:eastAsia="en-US"/>
        </w:rPr>
        <w:t>redukcyjno</w:t>
      </w:r>
      <w:proofErr w:type="spellEnd"/>
      <w:r w:rsidRPr="008B55C6">
        <w:rPr>
          <w:rFonts w:ascii="Arial" w:eastAsiaTheme="minorHAnsi" w:hAnsi="Arial" w:cs="Arial"/>
          <w:color w:val="000000"/>
          <w:lang w:eastAsia="en-US"/>
        </w:rPr>
        <w:t>-schładzające i dwie stacje schładzające dla zapewnienia pary na potrzeby własne dla każdego z trzech kotłów,</w:t>
      </w:r>
    </w:p>
    <w:p w14:paraId="683015FE" w14:textId="77777777" w:rsidR="003D5B90" w:rsidRPr="008B55C6" w:rsidRDefault="003D5B90" w:rsidP="00177F94">
      <w:pPr>
        <w:pStyle w:val="Akapitzlist"/>
        <w:numPr>
          <w:ilvl w:val="0"/>
          <w:numId w:val="1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trzy ekonomizery kondensacyjne.</w:t>
      </w:r>
    </w:p>
    <w:p w14:paraId="17C89CA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62E4AF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Dodatkowo na potrzeby realizacji nowego obiektu zostaną zabudowane rozprężacze (6 kompletów) oraz zbiorniki kondensatów (dwa komplety,) które zlokalizowane zostaną w istniejącym Budynku Głównym EC.</w:t>
      </w:r>
    </w:p>
    <w:p w14:paraId="38FDFA0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42B68B7" w14:textId="6DAC419D"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Realizacja inwestycji wiąże się również z budową nowych rurociągów wody zasilającej, wody zdemineralizowanej, wody chłodzącej, pary oraz gazu.</w:t>
      </w:r>
    </w:p>
    <w:p w14:paraId="2B088541" w14:textId="77777777" w:rsidR="00124FAD" w:rsidRPr="008B55C6" w:rsidRDefault="00124FAD" w:rsidP="00177F94">
      <w:pPr>
        <w:autoSpaceDE w:val="0"/>
        <w:autoSpaceDN w:val="0"/>
        <w:adjustRightInd w:val="0"/>
        <w:spacing w:line="360" w:lineRule="auto"/>
        <w:rPr>
          <w:rFonts w:ascii="Arial" w:eastAsiaTheme="minorHAnsi" w:hAnsi="Arial" w:cs="Arial"/>
          <w:color w:val="000000"/>
          <w:lang w:eastAsia="en-US"/>
        </w:rPr>
      </w:pPr>
    </w:p>
    <w:p w14:paraId="5278E94C" w14:textId="045E26F0"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Kotłownia będzie wytwarzała parę technologiczną na potrzeby produkcyjne w Zakładzie ANWIL S.A.</w:t>
      </w:r>
    </w:p>
    <w:p w14:paraId="179C49FC" w14:textId="77777777" w:rsidR="00124FAD" w:rsidRPr="008B55C6" w:rsidRDefault="00124FAD" w:rsidP="00177F94">
      <w:pPr>
        <w:autoSpaceDE w:val="0"/>
        <w:autoSpaceDN w:val="0"/>
        <w:adjustRightInd w:val="0"/>
        <w:spacing w:line="360" w:lineRule="auto"/>
        <w:rPr>
          <w:rFonts w:ascii="Arial" w:eastAsiaTheme="minorHAnsi" w:hAnsi="Arial" w:cs="Arial"/>
          <w:color w:val="000000"/>
          <w:lang w:eastAsia="en-US"/>
        </w:rPr>
      </w:pPr>
    </w:p>
    <w:p w14:paraId="039AF1F6" w14:textId="00ECCDB5"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Przewidywane możliwe do osiągnięcia zdolności produkcyjne nowej kotłowni stanowiącej część Instalacji spalania paliw – Elektrociepłowni ANWIL S.A. są następujące:</w:t>
      </w:r>
    </w:p>
    <w:p w14:paraId="6A412CAD" w14:textId="77777777" w:rsidR="003D5B90" w:rsidRPr="008B55C6" w:rsidRDefault="003D5B90" w:rsidP="00177F94">
      <w:pPr>
        <w:pStyle w:val="Akapitzlist"/>
        <w:numPr>
          <w:ilvl w:val="0"/>
          <w:numId w:val="11"/>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para 4,0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o temperaturze 450°C – 114 Mg/h brutto,</w:t>
      </w:r>
    </w:p>
    <w:p w14:paraId="615BDF88" w14:textId="77777777" w:rsidR="003D5B90" w:rsidRPr="008B55C6" w:rsidRDefault="003D5B90" w:rsidP="00177F94">
      <w:pPr>
        <w:pStyle w:val="Akapitzlist"/>
        <w:numPr>
          <w:ilvl w:val="0"/>
          <w:numId w:val="11"/>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para 1,9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o temperaturze 270°C – 66 Mg/h brutto,</w:t>
      </w:r>
    </w:p>
    <w:p w14:paraId="1C9B59D2" w14:textId="77777777" w:rsidR="003D5B90" w:rsidRPr="008B55C6" w:rsidRDefault="003D5B90" w:rsidP="00177F94">
      <w:pPr>
        <w:pStyle w:val="Akapitzlist"/>
        <w:numPr>
          <w:ilvl w:val="0"/>
          <w:numId w:val="11"/>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para 0,8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o temperaturze 240°C – 57 Mg/h (brutto) przy pracy kotła 0,8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lub 191 Mg/h przy pracy kotła 0,8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 xml:space="preserve"> oraz redukcji pary przez stację </w:t>
      </w:r>
      <w:proofErr w:type="spellStart"/>
      <w:r w:rsidRPr="008B55C6">
        <w:rPr>
          <w:rFonts w:ascii="Arial" w:eastAsiaTheme="minorHAnsi" w:hAnsi="Arial" w:cs="Arial"/>
          <w:color w:val="000000"/>
          <w:lang w:eastAsia="en-US"/>
        </w:rPr>
        <w:t>redukcyjno</w:t>
      </w:r>
      <w:proofErr w:type="spellEnd"/>
      <w:r w:rsidRPr="008B55C6">
        <w:rPr>
          <w:rFonts w:ascii="Arial" w:eastAsiaTheme="minorHAnsi" w:hAnsi="Arial" w:cs="Arial"/>
          <w:color w:val="000000"/>
          <w:lang w:eastAsia="en-US"/>
        </w:rPr>
        <w:t xml:space="preserve">-schładzającą z pary 4,0 </w:t>
      </w:r>
      <w:proofErr w:type="spellStart"/>
      <w:r w:rsidRPr="008B55C6">
        <w:rPr>
          <w:rFonts w:ascii="Arial" w:eastAsiaTheme="minorHAnsi" w:hAnsi="Arial" w:cs="Arial"/>
          <w:color w:val="000000"/>
          <w:lang w:eastAsia="en-US"/>
        </w:rPr>
        <w:t>MPa</w:t>
      </w:r>
      <w:proofErr w:type="spellEnd"/>
      <w:r w:rsidRPr="008B55C6">
        <w:rPr>
          <w:rFonts w:ascii="Arial" w:eastAsiaTheme="minorHAnsi" w:hAnsi="Arial" w:cs="Arial"/>
          <w:color w:val="000000"/>
          <w:lang w:eastAsia="en-US"/>
        </w:rPr>
        <w:t>.</w:t>
      </w:r>
    </w:p>
    <w:p w14:paraId="0ED198F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D76F573" w14:textId="7DCFEC0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Paliwo do ww. kotłów zostanie doprowadzone rurociągiem z istniejącej magistrali gazowej.</w:t>
      </w:r>
      <w:r w:rsidR="00177F94" w:rsidRPr="008B55C6">
        <w:rPr>
          <w:rFonts w:ascii="Arial" w:eastAsiaTheme="minorHAnsi" w:hAnsi="Arial" w:cs="Arial"/>
          <w:color w:val="000000"/>
          <w:lang w:eastAsia="en-US"/>
        </w:rPr>
        <w:t xml:space="preserve"> </w:t>
      </w:r>
      <w:r w:rsidRPr="008B55C6">
        <w:rPr>
          <w:rFonts w:ascii="Arial" w:eastAsiaTheme="minorHAnsi" w:hAnsi="Arial" w:cs="Arial"/>
          <w:color w:val="000000"/>
          <w:lang w:eastAsia="en-US"/>
        </w:rPr>
        <w:t>Wyprowadzenie pary do istniejących rurociągów parowych kompleksu produkcyjnego ANWIL S.A. planowane jest napowietrznymi rurociągami usytuowanymi na estakadach.</w:t>
      </w:r>
    </w:p>
    <w:p w14:paraId="47B310E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B9D06E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Zasilanie w energię elektryczną planowane jest z istniejącej rozdzielni zlokalizowanej w Elektrociepłowni. Spaliny z nowych źródeł będą odprowadzane przez oddzielne stalowe emitory przewidziane dla każdego z kotłów o następujących parametrach: wysokość minimalna 47,3 m; średnica maksymalna wylotu 1,6 m. W celu odzysku </w:t>
      </w:r>
      <w:r w:rsidRPr="008B55C6">
        <w:rPr>
          <w:rFonts w:ascii="Arial" w:eastAsiaTheme="minorHAnsi" w:hAnsi="Arial" w:cs="Arial"/>
          <w:color w:val="000000"/>
          <w:lang w:eastAsia="en-US"/>
        </w:rPr>
        <w:lastRenderedPageBreak/>
        <w:t>ciepła ze spalin, dla każdego z kotłów, przewiduje się zabudowę ekonomizerów kondensacyjnych.</w:t>
      </w:r>
    </w:p>
    <w:p w14:paraId="121E853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7EA4D4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Przedsięwzięcie zrealizowane zostanie w Obszarze Energetyki i Gospodarki Wodno-Ściekowej ANWIL S.A. we Włocławku na działkach o nr 16, 38, 39, na których obecnie funkcjonuje Elektrociepłownia ANWIL S.A. Powierzchnia działek wynosi 12,8216 ha (z czego działki o nr 38 i 39 to drogi, a ich powierzchnia wynosi 0,5144 ha), a powierzchnia zabudowy 6640 m</w:t>
      </w:r>
      <w:r w:rsidRPr="008B55C6">
        <w:rPr>
          <w:rFonts w:ascii="Arial" w:eastAsiaTheme="minorHAnsi" w:hAnsi="Arial" w:cs="Arial"/>
          <w:color w:val="000000"/>
          <w:vertAlign w:val="superscript"/>
          <w:lang w:eastAsia="en-US"/>
        </w:rPr>
        <w:t>2</w:t>
      </w:r>
      <w:r w:rsidRPr="008B55C6">
        <w:rPr>
          <w:rFonts w:ascii="Arial" w:eastAsiaTheme="minorHAnsi" w:hAnsi="Arial" w:cs="Arial"/>
          <w:color w:val="000000"/>
          <w:lang w:eastAsia="en-US"/>
        </w:rPr>
        <w:t>. Przedmiotowa inwestycja zwiększy powierzchnię zabudowy o ok. 2860 m</w:t>
      </w:r>
      <w:r w:rsidRPr="008B55C6">
        <w:rPr>
          <w:rFonts w:ascii="Arial" w:eastAsiaTheme="minorHAnsi" w:hAnsi="Arial" w:cs="Arial"/>
          <w:color w:val="000000"/>
          <w:vertAlign w:val="superscript"/>
          <w:lang w:eastAsia="en-US"/>
        </w:rPr>
        <w:t>2</w:t>
      </w:r>
      <w:r w:rsidRPr="008B55C6">
        <w:rPr>
          <w:rFonts w:ascii="Arial" w:eastAsiaTheme="minorHAnsi" w:hAnsi="Arial" w:cs="Arial"/>
          <w:color w:val="000000"/>
          <w:lang w:eastAsia="en-US"/>
        </w:rPr>
        <w:t>.</w:t>
      </w:r>
    </w:p>
    <w:p w14:paraId="32A367A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1CC1064" w14:textId="178F568B"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Analizowany teren zlokalizowany jest pomiędzy lewym brzegiem Wisły, a drogą krajową nr 91, w granicach administracyjnych Włocławka, w odległości ok. 8 km na północny -zachód od centrum miasta. Otoczenie przedmiotowego obszaru stanowią:</w:t>
      </w:r>
    </w:p>
    <w:p w14:paraId="4C9D91F0" w14:textId="276010A9"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od strony wschodniej i północno-wschodniej rzeka Wisła (o szerokości koryta rzecznego około 1 km),</w:t>
      </w:r>
    </w:p>
    <w:p w14:paraId="53F47436" w14:textId="628F1D33"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od strony północnej otwarta przestrzeń rozpościerająca się w kierunku znajdującej się w odległości około 2,5 km wsi Gąbinek (zajęta obecnie przez firmę PV </w:t>
      </w:r>
      <w:proofErr w:type="spellStart"/>
      <w:r w:rsidRPr="008B55C6">
        <w:rPr>
          <w:rFonts w:ascii="Arial" w:eastAsiaTheme="minorHAnsi" w:hAnsi="Arial" w:cs="Arial"/>
          <w:color w:val="000000"/>
          <w:lang w:eastAsia="en-US"/>
        </w:rPr>
        <w:t>Prefabet</w:t>
      </w:r>
      <w:proofErr w:type="spellEnd"/>
      <w:r w:rsidRPr="008B55C6">
        <w:rPr>
          <w:rFonts w:ascii="Arial" w:eastAsiaTheme="minorHAnsi" w:hAnsi="Arial" w:cs="Arial"/>
          <w:color w:val="000000"/>
          <w:lang w:eastAsia="en-US"/>
        </w:rPr>
        <w:t xml:space="preserve"> Kluczbork S.A., Elektrownię gazowo-parową – CCGT ORLEN S.A. oraz obszar Włocławskiej Strefy Rozwoju Gospodarczego),</w:t>
      </w:r>
    </w:p>
    <w:p w14:paraId="641B1528" w14:textId="6CD92C8D"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od strony północno-zachodniej las ciągnący się wzdłuż drogi krajowej nr 91 i autostrady A-1 (na przestrzeni około 4 km),</w:t>
      </w:r>
    </w:p>
    <w:p w14:paraId="7E077BB1" w14:textId="77777777"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od strony południowej obsadzona roślinnością (krzewy i drzewa) przestrzeń do linii kolejowej relacji Toruń-Kutno, z przyległym osiedlem Zakręt i Stacją PKP (o szerokości od kilkuset metrów do około 1 km),</w:t>
      </w:r>
    </w:p>
    <w:p w14:paraId="00211F2E" w14:textId="5F262105"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od strony zachodniej i południowo-zachodniej przebiega droga krajowa nr 91, dzieląc tym samym duży kompleks leśny otaczający łukiem ANWIL S.A. aż do samej Wisły. Na południowy -zachód przebiega również autostrada A1, na którą najbliższy zjazd oddalony jest o ok. 5,5 km od planowanego</w:t>
      </w:r>
      <w:r w:rsidR="00124FAD" w:rsidRPr="008B55C6">
        <w:rPr>
          <w:rFonts w:ascii="Arial" w:eastAsiaTheme="minorHAnsi" w:hAnsi="Arial" w:cs="Arial"/>
          <w:color w:val="000000"/>
          <w:lang w:eastAsia="en-US"/>
        </w:rPr>
        <w:t xml:space="preserve"> </w:t>
      </w:r>
      <w:r w:rsidRPr="008B55C6">
        <w:rPr>
          <w:rFonts w:ascii="Arial" w:eastAsiaTheme="minorHAnsi" w:hAnsi="Arial" w:cs="Arial"/>
          <w:color w:val="000000"/>
          <w:lang w:eastAsia="en-US"/>
        </w:rPr>
        <w:t xml:space="preserve">przedsięwzięcia, </w:t>
      </w:r>
    </w:p>
    <w:p w14:paraId="11B5CE27" w14:textId="1062C887" w:rsidR="003D5B90" w:rsidRPr="008B55C6" w:rsidRDefault="003D5B90" w:rsidP="00177F94">
      <w:pPr>
        <w:pStyle w:val="Akapitzlist"/>
        <w:numPr>
          <w:ilvl w:val="0"/>
          <w:numId w:val="1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od wschodniej strony granicy miasta, aż po Gostynin i Płock ciągnie się zwarty kompleks leśny o szerokości przekraczającej 16 km.</w:t>
      </w:r>
    </w:p>
    <w:p w14:paraId="06B2689E" w14:textId="77777777" w:rsidR="003D5B90" w:rsidRPr="008B55C6" w:rsidRDefault="003D5B90" w:rsidP="00177F94">
      <w:pPr>
        <w:pStyle w:val="Akapitzlist"/>
        <w:autoSpaceDE w:val="0"/>
        <w:autoSpaceDN w:val="0"/>
        <w:adjustRightInd w:val="0"/>
        <w:spacing w:line="360" w:lineRule="auto"/>
        <w:rPr>
          <w:rFonts w:ascii="Arial" w:eastAsiaTheme="minorHAnsi" w:hAnsi="Arial" w:cs="Arial"/>
          <w:color w:val="000000"/>
          <w:lang w:eastAsia="en-US"/>
        </w:rPr>
      </w:pPr>
    </w:p>
    <w:p w14:paraId="05642AF5" w14:textId="4327E71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Przedsięwzięcie znajduje się na terenie objętym obowiązującym miejscowym planem zagospodarowania przestrzennego miasta Włocławek dla obszaru położonego pomiędzy granicą lasu, ulicą Toruńską, granicą miasta, ulicą Inowrocławską, terenami kolejowymi oraz w rejonie ulicy Krzywa Góra, przyjętym uchwałą Rady Miasta Włocławek nr XXXIX/1/2014 z dnia 27 stycznia 2014 r. (Dz. Urz. Woj. Kuj.-Pom. z dnia 3 lutego 2014 r., poz. 320). Zgodnie z ww. miejscowym planem teren zamierzenia znajduje się na obszarze oznaczonym symbolem 1 P/ZZ z przeznaczeniem:</w:t>
      </w:r>
    </w:p>
    <w:p w14:paraId="6ED0AF75" w14:textId="77777777" w:rsidR="003D5B90" w:rsidRPr="008B55C6" w:rsidRDefault="003D5B90" w:rsidP="00177F94">
      <w:pPr>
        <w:pStyle w:val="Akapitzlist"/>
        <w:numPr>
          <w:ilvl w:val="0"/>
          <w:numId w:val="13"/>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podstawowym: przemysł, obszar bezpośredniego zagrożenia powodzią,</w:t>
      </w:r>
    </w:p>
    <w:p w14:paraId="56E7FF37" w14:textId="77777777" w:rsidR="003D5B90" w:rsidRPr="008B55C6" w:rsidRDefault="003D5B90" w:rsidP="00177F94">
      <w:pPr>
        <w:pStyle w:val="Akapitzlist"/>
        <w:numPr>
          <w:ilvl w:val="0"/>
          <w:numId w:val="13"/>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dopuszczalnym: zabudowa magazynowa, składy, usługi, rzemiosło, bocznice kolejowe.</w:t>
      </w:r>
    </w:p>
    <w:p w14:paraId="1D36B9A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77BDE07" w14:textId="6FF38AC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postępowaniu w sprawie wydania decyzji o środowiskowych uwarunkowaniach zagadnieniem podstawowym, warunkującym możliwość dalszego prowadzenia postępowania jest kwestia ustalenia, czy planowane przedsięwzięcie jest zgodne z zapisami obowiązującego na danym obszarze aktu prawa miejscowego. Stwierdzenie zgodności lokalizacji przedsięwzięcia z ustaleniami miejscowego planu zagospodarowania przestrzennego stanowi podstawowe kryterium dla dalszej oceny wpływu przedsięwzięcia na środowisko. Zgodnie bowiem z art. 59a ust. 1 pkt 2 </w:t>
      </w:r>
      <w:proofErr w:type="spellStart"/>
      <w:r w:rsidRPr="008B55C6">
        <w:rPr>
          <w:rFonts w:ascii="Arial" w:eastAsiaTheme="minorHAnsi" w:hAnsi="Arial" w:cs="Arial"/>
          <w:color w:val="000000"/>
          <w:lang w:eastAsia="en-US"/>
        </w:rPr>
        <w:t>uouioś</w:t>
      </w:r>
      <w:proofErr w:type="spellEnd"/>
      <w:r w:rsidRPr="008B55C6">
        <w:rPr>
          <w:rFonts w:ascii="Arial" w:eastAsiaTheme="minorHAnsi" w:hAnsi="Arial" w:cs="Arial"/>
          <w:color w:val="000000"/>
          <w:lang w:eastAsia="en-US"/>
        </w:rPr>
        <w:t>, przystąpienie do analizy w zakresie potrzeby ,przeprowadzenia oceny oddziaływania przedsięwzięcia na środowisko – w przypadku przedsięwzięcia, o którym mowa w art. 59 ust. 1 pkt 2, organ właściwy do wydania decyzji</w:t>
      </w:r>
    </w:p>
    <w:p w14:paraId="4601A782" w14:textId="6D1FE069"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 środowiskowych uwarunkowaniach, poprzedza analizą zgodności lokalizacji przedsięwzięcia z ustaleniami miejscowego planu zagospodarowania przestrzennego.</w:t>
      </w:r>
    </w:p>
    <w:p w14:paraId="4883EE7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85FDC3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związku z powyższym Prezydent Miasta Włocławek dokonał weryfikacji zgodności przedmiotowego przedsięwzięcia z zapisami ww. miejscowego planu zagospodarowania przestrzennego miasta Włocławek. </w:t>
      </w:r>
    </w:p>
    <w:p w14:paraId="6090F2E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3C3E448" w14:textId="7AF1208A"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Zakład jako cały obiekt został zaliczony do grupy zakładów dużego ryzyka pojawienia się awarii przemysłowej. Obowiązki pracowników na wszystkich poziomach organizacji odpowiedzialnych za działania na wypadek awarii przemysłowej są określone i realizowane poprzez szereg środków organizacyjnych, w postaci </w:t>
      </w:r>
      <w:r w:rsidRPr="008B55C6">
        <w:rPr>
          <w:rFonts w:ascii="Arial" w:eastAsiaTheme="minorHAnsi" w:hAnsi="Arial" w:cs="Arial"/>
          <w:color w:val="000000"/>
          <w:lang w:eastAsia="en-US"/>
        </w:rPr>
        <w:lastRenderedPageBreak/>
        <w:t xml:space="preserve">odpowiednich zarządzeń i procedur obowiązujących w zakładzie. Ponadto, został stworzony System Zarządzania Bezpieczeństwem Procesowym, gwarantujący ochronę ludzi </w:t>
      </w:r>
      <w:r w:rsidRPr="008B55C6">
        <w:rPr>
          <w:rFonts w:ascii="Arial" w:eastAsiaTheme="minorHAnsi" w:hAnsi="Arial" w:cs="Arial"/>
          <w:color w:val="000000"/>
          <w:lang w:eastAsia="en-US"/>
        </w:rPr>
        <w:br/>
        <w:t>i środowiska.</w:t>
      </w:r>
    </w:p>
    <w:p w14:paraId="7D197FD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64B15BA" w14:textId="0F7A4CD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rejonie projektowanego zadania nie występują obszary: siedliska łęgowe oraz ujścia rzek; wybrzeży i środowisko morskie; górskie lub leśne; objęte ochroną, w tym strefy ujęć wód i obszary ochronne zbiorników wód śródlądowych; wymagające specjalnej ochrony ze względu na występowanie gatunków roślin, grzybów i zwierząt lub ich siedlisk lub siedlisk przyrodniczych objętych ochroną, w tym obszary Natura 2000 oraz pozostałe formy ochrony przyrody, o krajobrazie mającym znaczenie historyczne, kulturowe lub archeologiczne; przylegające do jezior; jak również uzdrowiska i obszary ochrony uzdrowiskowej.</w:t>
      </w:r>
    </w:p>
    <w:p w14:paraId="198D75B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2E890BD" w14:textId="61E28D93"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dniu 26.06.2023 r. Sejmik Województwa Kujawsko-Pomorskiego uchwalił nowe programy ochrony powietrza (POP) dla wszystkich stref województwa kujawsko-pomorskiego, w tym dla miasta Włocławka, w której znajduje się projektowane przedsięwzięcie – Uchwała Nr LIX/803/23 Sejmiku Województwa Kujawsko – Pomorskiego z dnia 26 czerwca 2023 r. w sprawie określenia programu ochrony powietrza w zakresie pyłu zawieszonego PM10, PM2,5 oraz </w:t>
      </w:r>
      <w:proofErr w:type="spellStart"/>
      <w:r w:rsidRPr="008B55C6">
        <w:rPr>
          <w:rFonts w:ascii="Arial" w:eastAsiaTheme="minorHAnsi" w:hAnsi="Arial" w:cs="Arial"/>
          <w:color w:val="000000"/>
          <w:lang w:eastAsia="en-US"/>
        </w:rPr>
        <w:t>benzo</w:t>
      </w:r>
      <w:proofErr w:type="spellEnd"/>
      <w:r w:rsidRPr="008B55C6">
        <w:rPr>
          <w:rFonts w:ascii="Arial" w:eastAsiaTheme="minorHAnsi" w:hAnsi="Arial" w:cs="Arial"/>
          <w:color w:val="000000"/>
          <w:lang w:eastAsia="en-US"/>
        </w:rPr>
        <w:t>(a)</w:t>
      </w:r>
      <w:proofErr w:type="spellStart"/>
      <w:r w:rsidRPr="008B55C6">
        <w:rPr>
          <w:rFonts w:ascii="Arial" w:eastAsiaTheme="minorHAnsi" w:hAnsi="Arial" w:cs="Arial"/>
          <w:color w:val="000000"/>
          <w:lang w:eastAsia="en-US"/>
        </w:rPr>
        <w:t>pirenu</w:t>
      </w:r>
      <w:proofErr w:type="spellEnd"/>
      <w:r w:rsidRPr="008B55C6">
        <w:rPr>
          <w:rFonts w:ascii="Arial" w:eastAsiaTheme="minorHAnsi" w:hAnsi="Arial" w:cs="Arial"/>
          <w:color w:val="000000"/>
          <w:lang w:eastAsia="en-US"/>
        </w:rPr>
        <w:t xml:space="preserve"> dla strefy miasto Włocławek – aktualizacja.</w:t>
      </w:r>
    </w:p>
    <w:p w14:paraId="0F059E8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59F117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Programy powstały w oparciu o wyniki opracowanej w Głównym Inspektoracie Ochrony Środowiska „Rocznej oceny jakości powietrza w województwie kujawsko-pomorskim. Raport wojewódzki za rok 2021”.</w:t>
      </w:r>
    </w:p>
    <w:p w14:paraId="226D97B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162E628" w14:textId="4B5E2674"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Dokument stanowi aktualizację obowiązującego dotychczas „Programu ochrony powietrza w zakresie pyłu zawieszonego PM10 oraz </w:t>
      </w:r>
      <w:proofErr w:type="spellStart"/>
      <w:r w:rsidRPr="008B55C6">
        <w:rPr>
          <w:rFonts w:ascii="Arial" w:eastAsiaTheme="minorHAnsi" w:hAnsi="Arial" w:cs="Arial"/>
          <w:color w:val="000000"/>
          <w:lang w:eastAsia="en-US"/>
        </w:rPr>
        <w:t>benzo</w:t>
      </w:r>
      <w:proofErr w:type="spellEnd"/>
      <w:r w:rsidRPr="008B55C6">
        <w:rPr>
          <w:rFonts w:ascii="Arial" w:eastAsiaTheme="minorHAnsi" w:hAnsi="Arial" w:cs="Arial"/>
          <w:color w:val="000000"/>
          <w:lang w:eastAsia="en-US"/>
        </w:rPr>
        <w:t>(a)</w:t>
      </w:r>
      <w:proofErr w:type="spellStart"/>
      <w:r w:rsidRPr="008B55C6">
        <w:rPr>
          <w:rFonts w:ascii="Arial" w:eastAsiaTheme="minorHAnsi" w:hAnsi="Arial" w:cs="Arial"/>
          <w:color w:val="000000"/>
          <w:lang w:eastAsia="en-US"/>
        </w:rPr>
        <w:t>pirenu</w:t>
      </w:r>
      <w:proofErr w:type="spellEnd"/>
      <w:r w:rsidRPr="008B55C6">
        <w:rPr>
          <w:rFonts w:ascii="Arial" w:eastAsiaTheme="minorHAnsi" w:hAnsi="Arial" w:cs="Arial"/>
          <w:color w:val="000000"/>
          <w:lang w:eastAsia="en-US"/>
        </w:rPr>
        <w:t xml:space="preserve"> dla strefy miasto Włocławek” określonego uchwałą Nr XXIII/338/20 Sejmiku Województwa Kujawsko- Pomorskiego z dnia 22 czerwca 2020 r., w zakresie pyłu zawieszonego PM10 oraz </w:t>
      </w:r>
      <w:proofErr w:type="spellStart"/>
      <w:r w:rsidRPr="008B55C6">
        <w:rPr>
          <w:rFonts w:ascii="Arial" w:eastAsiaTheme="minorHAnsi" w:hAnsi="Arial" w:cs="Arial"/>
          <w:color w:val="000000"/>
          <w:lang w:eastAsia="en-US"/>
        </w:rPr>
        <w:t>benzo</w:t>
      </w:r>
      <w:proofErr w:type="spellEnd"/>
      <w:r w:rsidRPr="008B55C6">
        <w:rPr>
          <w:rFonts w:ascii="Arial" w:eastAsiaTheme="minorHAnsi" w:hAnsi="Arial" w:cs="Arial"/>
          <w:color w:val="000000"/>
          <w:lang w:eastAsia="en-US"/>
        </w:rPr>
        <w:t>(a)</w:t>
      </w:r>
      <w:proofErr w:type="spellStart"/>
      <w:r w:rsidRPr="008B55C6">
        <w:rPr>
          <w:rFonts w:ascii="Arial" w:eastAsiaTheme="minorHAnsi" w:hAnsi="Arial" w:cs="Arial"/>
          <w:color w:val="000000"/>
          <w:lang w:eastAsia="en-US"/>
        </w:rPr>
        <w:t>pirenu</w:t>
      </w:r>
      <w:proofErr w:type="spellEnd"/>
      <w:r w:rsidRPr="008B55C6">
        <w:rPr>
          <w:rFonts w:ascii="Arial" w:eastAsiaTheme="minorHAnsi" w:hAnsi="Arial" w:cs="Arial"/>
          <w:color w:val="000000"/>
          <w:lang w:eastAsia="en-US"/>
        </w:rPr>
        <w:t xml:space="preserve">, a także uwzględnia nowe zanieczyszczenie pył zawieszony PM2,5. Został opracowany w związku z odnotowaniem w 2021 r. przekroczenia standardów jakości powietrza – średniodobowego poziomu dopuszczalnego pyłu zawieszonego PM10 oraz średniorocznego poziomu dopuszczalnego pyłu zawieszonego PM2,5 </w:t>
      </w:r>
      <w:r w:rsidRPr="008B55C6">
        <w:rPr>
          <w:rFonts w:ascii="Arial" w:eastAsiaTheme="minorHAnsi" w:hAnsi="Arial" w:cs="Arial"/>
          <w:color w:val="000000"/>
          <w:lang w:eastAsia="en-US"/>
        </w:rPr>
        <w:lastRenderedPageBreak/>
        <w:t xml:space="preserve">(nowego zanieczyszczenia, którego przekroczenie poziomu dopuszczalnego nie wystąpiło w 2018 r.), a także poziomu docelowego </w:t>
      </w:r>
      <w:proofErr w:type="spellStart"/>
      <w:r w:rsidRPr="008B55C6">
        <w:rPr>
          <w:rFonts w:ascii="Arial" w:eastAsiaTheme="minorHAnsi" w:hAnsi="Arial" w:cs="Arial"/>
          <w:color w:val="000000"/>
          <w:lang w:eastAsia="en-US"/>
        </w:rPr>
        <w:t>benzo</w:t>
      </w:r>
      <w:proofErr w:type="spellEnd"/>
      <w:r w:rsidRPr="008B55C6">
        <w:rPr>
          <w:rFonts w:ascii="Arial" w:eastAsiaTheme="minorHAnsi" w:hAnsi="Arial" w:cs="Arial"/>
          <w:color w:val="000000"/>
          <w:lang w:eastAsia="en-US"/>
        </w:rPr>
        <w:t>(a)</w:t>
      </w:r>
      <w:proofErr w:type="spellStart"/>
      <w:r w:rsidRPr="008B55C6">
        <w:rPr>
          <w:rFonts w:ascii="Arial" w:eastAsiaTheme="minorHAnsi" w:hAnsi="Arial" w:cs="Arial"/>
          <w:color w:val="000000"/>
          <w:lang w:eastAsia="en-US"/>
        </w:rPr>
        <w:t>pirenu</w:t>
      </w:r>
      <w:proofErr w:type="spellEnd"/>
      <w:r w:rsidRPr="008B55C6">
        <w:rPr>
          <w:rFonts w:ascii="Arial" w:eastAsiaTheme="minorHAnsi" w:hAnsi="Arial" w:cs="Arial"/>
          <w:color w:val="000000"/>
          <w:lang w:eastAsia="en-US"/>
        </w:rPr>
        <w:t xml:space="preserve"> na terenie strefy.</w:t>
      </w:r>
    </w:p>
    <w:p w14:paraId="2A2464B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138DF07" w14:textId="75F6191D"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trakcie prac budowlanych nie powinna wystąpić konieczność odpompowywania wód gruntowych. W przypadku konieczności odwodnienia wykopu pod fundamenty zasięg oddziaływania tego odwadniania nie będzie wykraczał poza granice terenu, którego zakład jest właścicielem, a Inwestor dokona odpowiednich czynności formalno-prawnych. Odpompowana woda skierowana zostanie do najbliższej kanalizacji deszczowej po uzyskaniu zgody gestora sieci.</w:t>
      </w:r>
    </w:p>
    <w:p w14:paraId="0DD0F6D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49B8EF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Wszelkie prace realizacyjne wykonane zostaną z należytą dbałością i ostrożnością. Sprzęt wykorzystywany podczas prowadzenia budowy będzie w pełni sprawny technicznie, jego potencjalne drobne naprawy będą odbywać się miejscach wyłącznie do tego przeznaczonych i przystosowanych, zapewniających zabezpieczenie przed skażeniem gruntu substancjami ropopochodnymi. Plac budowy zostanie wyposażony w sorbenty, maty bądź biopreparaty do neutralizacji i likwidacji rozlewów olejowych.</w:t>
      </w:r>
    </w:p>
    <w:p w14:paraId="7EC9992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704BF0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Woda na etapie realizacji zostanie pobrana w oparciu o warunki określone przez gestora sieci (ANWIL S.A.). Pracownicy firm budowlanych i instalacyjnych korzystać będą z zabudowanych w kontenerach sanitariatów, z których ścieki zostaną odprowadzone do istniejącej kanalizacji sanitarnej. W przypadku realizacji prac wewnątrz istniejących obiektów instalacji możliwe będzie również korzystanie </w:t>
      </w:r>
      <w:r w:rsidRPr="008B55C6">
        <w:rPr>
          <w:rFonts w:ascii="Arial" w:eastAsiaTheme="minorHAnsi" w:hAnsi="Arial" w:cs="Arial"/>
          <w:color w:val="000000"/>
          <w:lang w:eastAsia="en-US"/>
        </w:rPr>
        <w:br/>
        <w:t>z istniejących, zlokalizowanych tam węzłów sanitarnych.</w:t>
      </w:r>
    </w:p>
    <w:p w14:paraId="2C20B42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DAB07E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 realizacji planowanej inwestycji w Instalacji spalania paliw – Elektrociepłowni, będą wykorzystywane następujące rodzaje wód:</w:t>
      </w:r>
    </w:p>
    <w:p w14:paraId="255A8E9F" w14:textId="77777777" w:rsidR="003D5B90" w:rsidRPr="008B55C6" w:rsidRDefault="003D5B90" w:rsidP="00177F94">
      <w:pPr>
        <w:pStyle w:val="Akapitzlist"/>
        <w:numPr>
          <w:ilvl w:val="0"/>
          <w:numId w:val="1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woda zdekarbonizowana:</w:t>
      </w:r>
    </w:p>
    <w:p w14:paraId="1E1E26AE" w14:textId="77777777" w:rsidR="003D5B90" w:rsidRPr="008B55C6" w:rsidRDefault="003D5B90" w:rsidP="00177F94">
      <w:pPr>
        <w:pStyle w:val="Akapitzlist"/>
        <w:numPr>
          <w:ilvl w:val="0"/>
          <w:numId w:val="15"/>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 uzupełniania ubytków wody w sieci grzewczej c.o. ANWIL S.A.,</w:t>
      </w:r>
    </w:p>
    <w:p w14:paraId="05BEAE8A" w14:textId="77777777" w:rsidR="003D5B90" w:rsidRPr="008B55C6" w:rsidRDefault="003D5B90" w:rsidP="00177F94">
      <w:pPr>
        <w:pStyle w:val="Akapitzlist"/>
        <w:numPr>
          <w:ilvl w:val="0"/>
          <w:numId w:val="15"/>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 chłodzenia (cyrkulacja) w obiegu chłodniczym – jako woda chłodząca;</w:t>
      </w:r>
    </w:p>
    <w:p w14:paraId="7F3AA8FD" w14:textId="77777777" w:rsidR="003D5B90" w:rsidRPr="008B55C6" w:rsidRDefault="003D5B90" w:rsidP="00177F94">
      <w:pPr>
        <w:pStyle w:val="Akapitzlist"/>
        <w:numPr>
          <w:ilvl w:val="0"/>
          <w:numId w:val="1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woda zdemineralizowana (w tym kondensaty):</w:t>
      </w:r>
    </w:p>
    <w:p w14:paraId="0871EF58" w14:textId="77777777" w:rsidR="003D5B90" w:rsidRPr="008B55C6" w:rsidRDefault="003D5B90" w:rsidP="00177F94">
      <w:pPr>
        <w:pStyle w:val="Akapitzlist"/>
        <w:numPr>
          <w:ilvl w:val="0"/>
          <w:numId w:val="16"/>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do wytworzenia pary o określonym ciśnieniu;</w:t>
      </w:r>
    </w:p>
    <w:p w14:paraId="15F7B925" w14:textId="77777777" w:rsidR="003D5B90" w:rsidRPr="008B55C6" w:rsidRDefault="003D5B90" w:rsidP="00177F94">
      <w:pPr>
        <w:pStyle w:val="Akapitzlist"/>
        <w:numPr>
          <w:ilvl w:val="0"/>
          <w:numId w:val="1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woda podziemna:</w:t>
      </w:r>
    </w:p>
    <w:p w14:paraId="5B86806E" w14:textId="77777777" w:rsidR="003D5B90" w:rsidRPr="008B55C6" w:rsidRDefault="003D5B90" w:rsidP="00177F94">
      <w:pPr>
        <w:pStyle w:val="Akapitzlist"/>
        <w:numPr>
          <w:ilvl w:val="0"/>
          <w:numId w:val="16"/>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do zaspakajania potrzeb socjalnych pracowników.</w:t>
      </w:r>
    </w:p>
    <w:p w14:paraId="51F9DA7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93E232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Realizacja inwestycji nie spowoduje potrzeby innego niż dotychczas poboru wód podziemnych. Woda podziemna wykorzystywana w ANWIL S.A., w tym również w Instalacji spalania paliw – Elektrociepłowni na potrzeby socjalne, w dalszym ciągu ujmowana będzie ze studni głębinowych, zlokalizowanych poza obszarem przemysłowym ANWIL S.A. W ramach przedsięwzięcia zwiększone zostanie zatrudnienie pracowników o 9 osób.</w:t>
      </w:r>
    </w:p>
    <w:p w14:paraId="5FD6690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F88FD40" w14:textId="76353FDC"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związku z rozbudową Instalacji spalania paliw - Elektrociepłowni nie zwiększy się zapotrzebowanie wody chłodniczej, także sposób zagospodarowania wody z obiegów chłodniczych w stosunku do istniejącego nie ulegną zmianie. Urządzenia wymagające chłodzenia są włączone do istniejącego obiegu chłodniczego. Jest to tzw. obieg chłodniczy półotwarty, w skład którego wchodzą pompownie wody chłodniczej, chłodnie wentylatorowe oraz sieci wodne wraz z infrastrukturą techniczną. Stopień cyrkulacji wody chłodniczej (dekarbonizowanej) dostosowywany będzie do aktualnych potrzeb, wynikających z wydajności instalacji produkcyjnych oraz temperatur wody zasilającej i powrotnej. W nowym obiekcie natomiast nie będzie urządzeń o obiegu powrotnym (w przypadku konieczności odprowadzenia wody pochodzącej z </w:t>
      </w:r>
      <w:proofErr w:type="spellStart"/>
      <w:r w:rsidRPr="008B55C6">
        <w:rPr>
          <w:rFonts w:ascii="Arial" w:eastAsiaTheme="minorHAnsi" w:hAnsi="Arial" w:cs="Arial"/>
          <w:color w:val="000000"/>
          <w:lang w:eastAsia="en-US"/>
        </w:rPr>
        <w:t>próbkoodbiorników</w:t>
      </w:r>
      <w:proofErr w:type="spellEnd"/>
      <w:r w:rsidRPr="008B55C6">
        <w:rPr>
          <w:rFonts w:ascii="Arial" w:eastAsiaTheme="minorHAnsi" w:hAnsi="Arial" w:cs="Arial"/>
          <w:color w:val="000000"/>
          <w:lang w:eastAsia="en-US"/>
        </w:rPr>
        <w:t xml:space="preserve"> zostanie ona odprowadzona systemem kanalizacji wewnątrzzakładowej do oczyszczalni ścieków przemysłowych ANWIL S.A.).</w:t>
      </w:r>
    </w:p>
    <w:p w14:paraId="05685ED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00A0DE2" w14:textId="540B9B50"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Wzrost zapotrzebowania na wodę do celów technologicznych nie wymaga zmiany pozwolenia wodnoprawnego na pobór wód. Pobór wód sankcjonuje pozwolenie wodnoprawne na pobór wody powierzchniowej z rzeki Wisły oraz uzdatnianie pobranej wody i dystrybucje wody uzdatnionej odbiorcom zewnętrznym, wydane przez Dyrektora Regionalnego Zarządu Gospodarki Wodnej w Gdańsku Państwowego Gospodarstwa Wodnego Wody Polskie dla ANWIL S.A. jako całości. W wyniku realizacji zamierzenia nastąpi wzrost zużycia wody zdemineralizowanej z 2219000 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/rok do 4055880 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/rok. Natomiast wskazany w ww. pozwoleniu maksymalny pobór wód wynosi 36500000 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/rok, a zapotrzebowanie na wodę uzdatnioną na potrzeby własne zakładu określono na 19564000 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/rok.</w:t>
      </w:r>
    </w:p>
    <w:p w14:paraId="6C034219" w14:textId="77777777" w:rsidR="001F662D" w:rsidRPr="008B55C6" w:rsidRDefault="001F662D" w:rsidP="00177F94">
      <w:pPr>
        <w:autoSpaceDE w:val="0"/>
        <w:autoSpaceDN w:val="0"/>
        <w:adjustRightInd w:val="0"/>
        <w:spacing w:line="360" w:lineRule="auto"/>
        <w:rPr>
          <w:rFonts w:ascii="Arial" w:eastAsiaTheme="minorHAnsi" w:hAnsi="Arial" w:cs="Arial"/>
          <w:color w:val="000000"/>
          <w:lang w:eastAsia="en-US"/>
        </w:rPr>
      </w:pPr>
    </w:p>
    <w:p w14:paraId="6CC3530B" w14:textId="73DFCE89"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W przedłożonym uzupełnieniu wskazano, że warunki poboru wody powierzchniowej ustalone ww. pozwoleniem wodnoprawnym, jak i zapotrzebowania na wodę uzdatniona nie były dla ANWIL S.A. jako całości do tej pory przekraczane i za 2023 r. stanowiły 50% wielkości maksymalnego poboru rocznego oraz 55% wielkości rocznego zapotrzebowania na wodę uzdatnioną na potrzeby własne Zakładu.</w:t>
      </w:r>
    </w:p>
    <w:p w14:paraId="1C55B2D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EBA1CC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Ścieki </w:t>
      </w:r>
      <w:proofErr w:type="spellStart"/>
      <w:r w:rsidRPr="008B55C6">
        <w:rPr>
          <w:rFonts w:ascii="Arial" w:eastAsiaTheme="minorHAnsi" w:hAnsi="Arial" w:cs="Arial"/>
          <w:color w:val="000000"/>
          <w:lang w:eastAsia="en-US"/>
        </w:rPr>
        <w:t>socjalno</w:t>
      </w:r>
      <w:proofErr w:type="spellEnd"/>
      <w:r w:rsidRPr="008B55C6">
        <w:rPr>
          <w:rFonts w:ascii="Arial" w:eastAsiaTheme="minorHAnsi" w:hAnsi="Arial" w:cs="Arial"/>
          <w:color w:val="000000"/>
          <w:lang w:eastAsia="en-US"/>
        </w:rPr>
        <w:t xml:space="preserve"> - bytowe odprowadzone zostaną do wewnątrzzakładowego systemu kanalizacji ścieków fekalnych (KF), obejmującego swym zasięgiem teren całego Zakładu. Zebrane ścieki nadal będą kierowane są do Węzła Biologicznego Oczyszczania Oczyszczalni Ścieków Przemysłowych ANWIL S.A.</w:t>
      </w:r>
    </w:p>
    <w:p w14:paraId="64EF974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68B381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Kondensaty powstałe na terenie Elektrociepłowni zawracane są bezpośrednio do procesu i uzupełniają bilans wody wykorzystywanej w procesie wytwarzania pary. Natomiast strumień kondensatów, którego parametry nie pozwalają na jego bezpośrednie zawrócenie do procesu wykorzystywany jest </w:t>
      </w:r>
      <w:r w:rsidRPr="008B55C6">
        <w:rPr>
          <w:rFonts w:ascii="Arial" w:eastAsiaTheme="minorHAnsi" w:hAnsi="Arial" w:cs="Arial"/>
          <w:color w:val="000000"/>
          <w:lang w:eastAsia="en-US"/>
        </w:rPr>
        <w:br/>
        <w:t xml:space="preserve">do uzupełniania sieci grzewczej c.o. lub obiegu wody chłodniczej lub zawracany jest do stacji </w:t>
      </w:r>
      <w:proofErr w:type="spellStart"/>
      <w:r w:rsidRPr="008B55C6">
        <w:rPr>
          <w:rFonts w:ascii="Arial" w:eastAsiaTheme="minorHAnsi" w:hAnsi="Arial" w:cs="Arial"/>
          <w:color w:val="000000"/>
          <w:lang w:eastAsia="en-US"/>
        </w:rPr>
        <w:t>Demii</w:t>
      </w:r>
      <w:proofErr w:type="spellEnd"/>
      <w:r w:rsidRPr="008B55C6">
        <w:rPr>
          <w:rFonts w:ascii="Arial" w:eastAsiaTheme="minorHAnsi" w:hAnsi="Arial" w:cs="Arial"/>
          <w:color w:val="000000"/>
          <w:lang w:eastAsia="en-US"/>
        </w:rPr>
        <w:t xml:space="preserve"> II.</w:t>
      </w:r>
    </w:p>
    <w:p w14:paraId="35F488A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12B398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Zdanie do eksploatacji nowych elementów instalacji nie wpłynie na prowadzony obecnie sposób postępowania z przedmiotowymi ściekami - wszystkie rodzaje ścieków odprowadzane będą poprzez system kanalizacyjny ANWIL S.A. do zakładowej Oczyszczalni Ścieków Przemysłowych ANWIL S.A., która działa w oparciu o pozwolenie zintegrowane. Zakładowa oczyszczalnia ścieków przemysłowych jest w stanie przyjąć dodatkową ilość ścieków przemysłowych z nowej kotłowni w wysokości 400 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/d.</w:t>
      </w:r>
    </w:p>
    <w:p w14:paraId="724A8EC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153BAD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Wody opadowe lub roztopowe z utwardzonych powierzchni ciągów komunikacyjnych, placów i dachów obiektów budowlanych, odprowadzane będą z Elektrociepłowni tak jak dotychczas do systemu kanalizacyjnego ANWIL S.A. (kanalizacji deszczowej), którym skierowane zostaną do części mechaniczno-chemicznej zakładowej Oczyszczalni Ścieków Przemysłowych.</w:t>
      </w:r>
    </w:p>
    <w:p w14:paraId="7432993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42C18F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Przedmiotowa inwestycja zlokalizowana jest w obszarze dorzecza Wisły, zgodnie z rozporządzeniem Ministra Infrastruktury z dnia 4 listopada 2022 r. w sprawie Planu gospodarowania wodami na obszarze dorzecza Wisły (Dz. U. z 2023 r., poz. 300 t.j.).</w:t>
      </w:r>
    </w:p>
    <w:p w14:paraId="3AC7654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E84ED39" w14:textId="5C522AFF"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Zamierzenie znajduje się w obszarze jednolitej części wód podziemnych oznaczonym europejskim kodem PLGW200045, zaliczonym do regionu wodnego Dolnej Wisły. Zgodnie z rozporządzeniem Ministra Infrastruktury z dnia 4 listopada 2022 r. w sprawie Planu gospodarowania wodami na obszarze dorzecza Wisły, stan ilościowy i chemiczny tej </w:t>
      </w:r>
      <w:proofErr w:type="spellStart"/>
      <w:r w:rsidRPr="008B55C6">
        <w:rPr>
          <w:rFonts w:ascii="Arial" w:eastAsiaTheme="minorHAnsi" w:hAnsi="Arial" w:cs="Arial"/>
          <w:color w:val="000000"/>
          <w:lang w:eastAsia="en-US"/>
        </w:rPr>
        <w:t>JCWPd</w:t>
      </w:r>
      <w:proofErr w:type="spellEnd"/>
      <w:r w:rsidRPr="008B55C6">
        <w:rPr>
          <w:rFonts w:ascii="Arial" w:eastAsiaTheme="minorHAnsi" w:hAnsi="Arial" w:cs="Arial"/>
          <w:color w:val="000000"/>
          <w:lang w:eastAsia="en-US"/>
        </w:rPr>
        <w:t xml:space="preserve"> oceniono jako dobry. Rozpatrywana jednolita część wód podziemnych nie jest zagrożona ryzykiem nieosiągnięcia celów środowiskowych, tj. utrzymania co najmniej dobrego stanu ilościowego i chemicznego wód podziemnych.</w:t>
      </w:r>
    </w:p>
    <w:p w14:paraId="1C8D5F6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692A98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Przedsięwzięcie znajduje się w obszarze jednolitej części wód powierzchniowych oznaczonym europejskim kodem PLRW20001027929 – „Ośla”, zaliczonym do regionu wodnego Dolnej Wisły. Zgodnie z rozporządzeniem Ministra Infrastruktury z dnia 4 listopada 2022 r. w sprawie Planu gospodarowania wodami na obszarze dorzecza Wisły, ta JCWP posiada status naturalnej części wód, której stan oceniono jako zły (stan ekologiczny: słaby, stan chemiczny: brak danych). Rozpatrywana jednolita część wód powierzchniowych jest zagrożona ryzykiem nieosiągnięcia celów środowiskowych, tj. osiągnięcia dobrego stanu ekologicznego oraz dobrego stanu chemicznego wód powierzchniowych.</w:t>
      </w:r>
    </w:p>
    <w:p w14:paraId="737E33B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B941DE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Teren inwestycji znajduje się poza granicami głównych zbiorników wód podziemnych oraz poza obszarami szczególnego zagrożenia powodzią, a także poza strefami ochronnymi ujęć wód na potrzeby zaopatrzenia ludności.</w:t>
      </w:r>
    </w:p>
    <w:p w14:paraId="0C4BCF9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36838FC" w14:textId="574857CB"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Biorąc pod uwagę zaproponowane rozwiązania stwierdzono, że zamierzenie nie przyczyni się do zanieczyszczenia wód podziemnych i powierzchniowych, a więc nie ograniczy możliwości osiągnięcia celów środowiskowych zawartych w planie gospodarowania wodami na obszarze dorzecza Wisły.</w:t>
      </w:r>
    </w:p>
    <w:p w14:paraId="605F06EB"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8994A6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Na etapie realizacji, prace budowlane, w szczególności praca ciężkiego sprzętu, wykonywanie prac ziemnych oraz transport materiałów budowlanych, spowodują </w:t>
      </w:r>
      <w:r w:rsidRPr="008B55C6">
        <w:rPr>
          <w:rFonts w:ascii="Arial" w:eastAsiaTheme="minorHAnsi" w:hAnsi="Arial" w:cs="Arial"/>
          <w:color w:val="000000"/>
          <w:lang w:eastAsia="en-US"/>
        </w:rPr>
        <w:lastRenderedPageBreak/>
        <w:t>okresowe uciążliwości takie jak: podwyższony poziom hałasu oraz emisję zanieczyszczeń do powietrza. W celu ograniczenia oddziaływań związanych z emisją hałasu, wibracji i zanieczyszczeń do powietrza, uciążliwe prace budowlane montażowe (przede wszystkim prace hałaśliwe oraz związane z wykorzystywaniem ciężkiego sprzętu/transportu), należy prowadzić wyłącznie w porze dziennej, tj. w godz. 6:00 – 22:00.</w:t>
      </w:r>
    </w:p>
    <w:p w14:paraId="6BC7190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017ADFB" w14:textId="0D5CFAD0"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Zmniejszenie emisji substancji do powietrza możliwe jest poprzez ograniczenie pracy silników do niezbędnego minimum. Etap realizacji ma charakter przejściowy.</w:t>
      </w:r>
    </w:p>
    <w:p w14:paraId="377A560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B42BD81"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Jak wynika z dokumentacji, najbliższe tereny chronione akustycznie stanowi zabudowa zagrodowa zlokalizowana w odległości ok. 500 w kierunku zachodnim od miejsca realizacji zamierzenia. Pozostałe tereny chronione (mieszkaniowo-usługowe) usytuowane są w kierunku południowym i południowo-wschodnim, w odległości ok. 500-600 m od granicy terenu przemysłowego ANWIL S.A., jednocześnie powyżej 1 km od miejsca realizacji inwestycji.</w:t>
      </w:r>
    </w:p>
    <w:p w14:paraId="7A6CE6D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EE08C04" w14:textId="430EBEE6"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Aktualny stan związany z emisją hałasu do środowiska powodowany przez urządzenia związane z prawidłowym funkcjonowaniem Instalacji spalania paliw – Elektrociepłowni ANWIL S.A., usankcjonowano w obowiązującym pozwoleniu zintegrowanym. Zakład prowadzi pomiary poziomu hałasu na obszarach objętych ochroną przed hałasem.</w:t>
      </w:r>
    </w:p>
    <w:p w14:paraId="47683B1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4AEA4D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Na terenie instalacji wyodrębnione są źródła wszechkierunkowe, wtórne, kierunkowe, liniowe oraz przestrzenne. Źródła te funkcjonują w większości przypadków w ruchu ciągłym, zarówno w porze dnia jak i nocy.</w:t>
      </w:r>
    </w:p>
    <w:p w14:paraId="3AF67F4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D7DC95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Eksploatacja przedsięwzięcia będzie wiązała się z emisją hałasu do środowiska, powodowaną przez zainstalowane urządzenia wchodzące w skład rozbudowanej instalacji oraz ruch pojazdów mechanicznych. W celu ograniczania oddziaływania tych źródeł na stan klimatu akustycznego główne źródła hałasu usytuowane zostaną wewnątrz budynku kotłowni.</w:t>
      </w:r>
    </w:p>
    <w:p w14:paraId="7DA1124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747E0B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związku z rozbudową Instalacji spalania paliw – Elektrociepłowni ANWIL S.A.,</w:t>
      </w:r>
    </w:p>
    <w:p w14:paraId="0B840CD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planuje się budowę 46 nowych źródeł hałasu, w tym:</w:t>
      </w:r>
    </w:p>
    <w:p w14:paraId="63EE7252" w14:textId="77777777" w:rsidR="003D5B90" w:rsidRPr="008B55C6" w:rsidRDefault="003D5B90" w:rsidP="00177F94">
      <w:pPr>
        <w:pStyle w:val="Akapitzlist"/>
        <w:numPr>
          <w:ilvl w:val="0"/>
          <w:numId w:val="16"/>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1 wtórne źródło hałasu typu „budynek” – budynek nowej kotłowni </w:t>
      </w:r>
      <w:r w:rsidRPr="008B55C6">
        <w:rPr>
          <w:rFonts w:ascii="Arial" w:eastAsiaTheme="minorHAnsi" w:hAnsi="Arial" w:cs="Arial"/>
          <w:color w:val="00000A"/>
          <w:lang w:eastAsia="en-US"/>
        </w:rPr>
        <w:t>(</w:t>
      </w:r>
      <w:r w:rsidRPr="008B55C6">
        <w:rPr>
          <w:rFonts w:ascii="Arial" w:eastAsiaTheme="minorHAnsi" w:hAnsi="Arial" w:cs="Arial"/>
          <w:color w:val="000000"/>
          <w:lang w:eastAsia="en-US"/>
        </w:rPr>
        <w:t xml:space="preserve">izolacyjność akustyczna właściwa przegród RW nie mniejsza niż 32 </w:t>
      </w:r>
      <w:proofErr w:type="spellStart"/>
      <w:r w:rsidRPr="008B55C6">
        <w:rPr>
          <w:rFonts w:ascii="Arial" w:eastAsiaTheme="minorHAnsi" w:hAnsi="Arial" w:cs="Arial"/>
          <w:color w:val="000000"/>
          <w:lang w:eastAsia="en-US"/>
        </w:rPr>
        <w:t>dB</w:t>
      </w:r>
      <w:proofErr w:type="spellEnd"/>
      <w:r w:rsidRPr="008B55C6">
        <w:rPr>
          <w:rFonts w:ascii="Arial" w:eastAsiaTheme="minorHAnsi" w:hAnsi="Arial" w:cs="Arial"/>
          <w:color w:val="000000"/>
          <w:lang w:eastAsia="en-US"/>
        </w:rPr>
        <w:t>),</w:t>
      </w:r>
    </w:p>
    <w:p w14:paraId="4DA48D2E" w14:textId="77777777" w:rsidR="003D5B90" w:rsidRPr="008B55C6" w:rsidRDefault="003D5B90" w:rsidP="00177F94">
      <w:pPr>
        <w:pStyle w:val="Akapitzlist"/>
        <w:numPr>
          <w:ilvl w:val="0"/>
          <w:numId w:val="16"/>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17 kierunkowych źródeł hałasu,</w:t>
      </w:r>
    </w:p>
    <w:p w14:paraId="3CC8EBF0" w14:textId="77777777" w:rsidR="003D5B90" w:rsidRPr="008B55C6" w:rsidRDefault="003D5B90" w:rsidP="00177F94">
      <w:pPr>
        <w:pStyle w:val="Akapitzlist"/>
        <w:numPr>
          <w:ilvl w:val="0"/>
          <w:numId w:val="16"/>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24 wszechkierunkowe źródła hałasu.</w:t>
      </w:r>
    </w:p>
    <w:p w14:paraId="031021F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CF2E688" w14:textId="5D4A5C0D"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Ponadto, przewiduje się liniowe źródła hałasu reprezentujące transport samochodowy. Przyjęto, że eksploatacja nowych kotłów będzie związana z ruchem 4 pojazdów osobowych i 1 pojazdu ciężarowego, wyłącznie w porze dziennej.</w:t>
      </w:r>
    </w:p>
    <w:p w14:paraId="2D82A9E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8BDD4A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Przeprowadzona w Kip analiza wykazała, że przedsięwzięcie nie powinno spowodować ponadnormatywnej uciążliwości akustycznej na najbliższych terenach chronionych.</w:t>
      </w:r>
    </w:p>
    <w:p w14:paraId="7592A45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5B7698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Jednocześnie w uzupełnieniu zadeklarowano, że na etapie sporządzania projektów wykonawczych oraz zakupów urządzeń, Wykonawca przeanalizuje możliwość zastosowywania takich źródeł hałasu, które będą charakteryzować się możliwie najniższym oddziaływaniem na środowisko.</w:t>
      </w:r>
    </w:p>
    <w:p w14:paraId="38577A3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EF86F9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stanie aktualnym źródłami emisji w obrębie Instalacji spalania paliw Elektrociepłowni ANWIL S.A. jest proces spalania gazu ziemnego w:</w:t>
      </w:r>
    </w:p>
    <w:p w14:paraId="6BDDC500" w14:textId="77777777" w:rsidR="003D5B90" w:rsidRPr="008B55C6" w:rsidRDefault="003D5B90" w:rsidP="00177F94">
      <w:pPr>
        <w:pStyle w:val="Akapitzlist"/>
        <w:numPr>
          <w:ilvl w:val="0"/>
          <w:numId w:val="17"/>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kotle parowym (K-1) o mocy 200 MW, z którego </w:t>
      </w:r>
      <w:proofErr w:type="spellStart"/>
      <w:r w:rsidRPr="008B55C6">
        <w:rPr>
          <w:rFonts w:ascii="Arial" w:eastAsiaTheme="minorHAnsi" w:hAnsi="Arial" w:cs="Arial"/>
          <w:color w:val="000000"/>
          <w:lang w:eastAsia="en-US"/>
        </w:rPr>
        <w:t>odgazy</w:t>
      </w:r>
      <w:proofErr w:type="spellEnd"/>
      <w:r w:rsidRPr="008B55C6">
        <w:rPr>
          <w:rFonts w:ascii="Arial" w:eastAsiaTheme="minorHAnsi" w:hAnsi="Arial" w:cs="Arial"/>
          <w:color w:val="000000"/>
          <w:lang w:eastAsia="en-US"/>
        </w:rPr>
        <w:t xml:space="preserve"> odprowadzane są do atmosfery </w:t>
      </w:r>
      <w:r w:rsidRPr="008B55C6">
        <w:rPr>
          <w:rFonts w:ascii="Arial" w:eastAsiaTheme="minorHAnsi" w:hAnsi="Arial" w:cs="Arial"/>
          <w:color w:val="000000"/>
          <w:lang w:eastAsia="en-US"/>
        </w:rPr>
        <w:br/>
        <w:t>za pomocą emitora 2E-100,</w:t>
      </w:r>
    </w:p>
    <w:p w14:paraId="35DB8657" w14:textId="77777777" w:rsidR="003D5B90" w:rsidRPr="008B55C6" w:rsidRDefault="003D5B90" w:rsidP="00177F94">
      <w:pPr>
        <w:pStyle w:val="Akapitzlist"/>
        <w:numPr>
          <w:ilvl w:val="0"/>
          <w:numId w:val="17"/>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kotłach parowych (K-3 i K-4) o mocy 24,16 MW każdy, z których </w:t>
      </w:r>
      <w:proofErr w:type="spellStart"/>
      <w:r w:rsidRPr="008B55C6">
        <w:rPr>
          <w:rFonts w:ascii="Arial" w:eastAsiaTheme="minorHAnsi" w:hAnsi="Arial" w:cs="Arial"/>
          <w:color w:val="000000"/>
          <w:lang w:eastAsia="en-US"/>
        </w:rPr>
        <w:t>odgazy</w:t>
      </w:r>
      <w:proofErr w:type="spellEnd"/>
      <w:r w:rsidRPr="008B55C6">
        <w:rPr>
          <w:rFonts w:ascii="Arial" w:eastAsiaTheme="minorHAnsi" w:hAnsi="Arial" w:cs="Arial"/>
          <w:color w:val="000000"/>
          <w:lang w:eastAsia="en-US"/>
        </w:rPr>
        <w:t xml:space="preserve"> odprowadzane </w:t>
      </w:r>
      <w:r w:rsidRPr="008B55C6">
        <w:rPr>
          <w:rFonts w:ascii="Arial" w:eastAsiaTheme="minorHAnsi" w:hAnsi="Arial" w:cs="Arial"/>
          <w:color w:val="000000"/>
          <w:lang w:eastAsia="en-US"/>
        </w:rPr>
        <w:br/>
        <w:t>są do atmosfery za pomocą dwóch odrębnych emitorów 2E-103 i 2E-104,</w:t>
      </w:r>
    </w:p>
    <w:p w14:paraId="41BD7C77" w14:textId="77777777" w:rsidR="003D5B90" w:rsidRPr="008B55C6" w:rsidRDefault="003D5B90" w:rsidP="00177F94">
      <w:pPr>
        <w:pStyle w:val="Akapitzlist"/>
        <w:numPr>
          <w:ilvl w:val="0"/>
          <w:numId w:val="17"/>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kotłach parowych (KM-1 i KM-2) o mocy 10,254 MW każdy, z których </w:t>
      </w:r>
      <w:proofErr w:type="spellStart"/>
      <w:r w:rsidRPr="008B55C6">
        <w:rPr>
          <w:rFonts w:ascii="Arial" w:eastAsiaTheme="minorHAnsi" w:hAnsi="Arial" w:cs="Arial"/>
          <w:color w:val="000000"/>
          <w:lang w:eastAsia="en-US"/>
        </w:rPr>
        <w:t>odgazy</w:t>
      </w:r>
      <w:proofErr w:type="spellEnd"/>
      <w:r w:rsidRPr="008B55C6">
        <w:rPr>
          <w:rFonts w:ascii="Arial" w:eastAsiaTheme="minorHAnsi" w:hAnsi="Arial" w:cs="Arial"/>
          <w:color w:val="000000"/>
          <w:lang w:eastAsia="en-US"/>
        </w:rPr>
        <w:t xml:space="preserve"> odprowadzane </w:t>
      </w:r>
      <w:r w:rsidRPr="008B55C6">
        <w:rPr>
          <w:rFonts w:ascii="Arial" w:eastAsiaTheme="minorHAnsi" w:hAnsi="Arial" w:cs="Arial"/>
          <w:color w:val="000000"/>
          <w:lang w:eastAsia="en-US"/>
        </w:rPr>
        <w:br/>
        <w:t>są do atmosfery za pomocą dwóch odrębnych emitorów 2E-105 i 2E-106,</w:t>
      </w:r>
    </w:p>
    <w:p w14:paraId="1D5CB84D" w14:textId="77777777" w:rsidR="003D5B90" w:rsidRPr="008B55C6" w:rsidRDefault="003D5B90" w:rsidP="00177F94">
      <w:pPr>
        <w:pStyle w:val="Akapitzlist"/>
        <w:numPr>
          <w:ilvl w:val="0"/>
          <w:numId w:val="17"/>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 xml:space="preserve">przegrzewaczu pary PP o mocy 1,3 MW, z którego </w:t>
      </w:r>
      <w:proofErr w:type="spellStart"/>
      <w:r w:rsidRPr="008B55C6">
        <w:rPr>
          <w:rFonts w:ascii="Arial" w:eastAsiaTheme="minorHAnsi" w:hAnsi="Arial" w:cs="Arial"/>
          <w:color w:val="000000"/>
          <w:lang w:eastAsia="en-US"/>
        </w:rPr>
        <w:t>odgazy</w:t>
      </w:r>
      <w:proofErr w:type="spellEnd"/>
      <w:r w:rsidRPr="008B55C6">
        <w:rPr>
          <w:rFonts w:ascii="Arial" w:eastAsiaTheme="minorHAnsi" w:hAnsi="Arial" w:cs="Arial"/>
          <w:color w:val="000000"/>
          <w:lang w:eastAsia="en-US"/>
        </w:rPr>
        <w:t xml:space="preserve"> odprowadzane są do atmosfery </w:t>
      </w:r>
      <w:r w:rsidRPr="008B55C6">
        <w:rPr>
          <w:rFonts w:ascii="Arial" w:eastAsiaTheme="minorHAnsi" w:hAnsi="Arial" w:cs="Arial"/>
          <w:color w:val="000000"/>
          <w:lang w:eastAsia="en-US"/>
        </w:rPr>
        <w:br/>
        <w:t>za pomocą emitora 2E-107.</w:t>
      </w:r>
    </w:p>
    <w:p w14:paraId="0917180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6006A0D" w14:textId="08BA4E4B"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Do końca 2023 r. w obrębie instalacji eksploatowany był również kocioł parowy K2 o mocy 200 MW, z którego </w:t>
      </w:r>
      <w:proofErr w:type="spellStart"/>
      <w:r w:rsidRPr="008B55C6">
        <w:rPr>
          <w:rFonts w:ascii="Arial" w:eastAsiaTheme="minorHAnsi" w:hAnsi="Arial" w:cs="Arial"/>
          <w:color w:val="000000"/>
          <w:lang w:eastAsia="en-US"/>
        </w:rPr>
        <w:t>odgazy</w:t>
      </w:r>
      <w:proofErr w:type="spellEnd"/>
      <w:r w:rsidRPr="008B55C6">
        <w:rPr>
          <w:rFonts w:ascii="Arial" w:eastAsiaTheme="minorHAnsi" w:hAnsi="Arial" w:cs="Arial"/>
          <w:color w:val="000000"/>
          <w:lang w:eastAsia="en-US"/>
        </w:rPr>
        <w:t xml:space="preserve"> odprowadzane były do atmosfery za pomocą emitora 2E-100.</w:t>
      </w:r>
    </w:p>
    <w:p w14:paraId="68F15B7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E4E25B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Proces spalania paliwa gazowego wiąże się z emisją do powietrza tlenku węgla, dwutlenku węgla, tlenków azotu, dwutlenku siarki i pyłu. Do końca 2023 r. istniała możliwość spalania ciężkiego oleju opałowego w kotle K-1 oraz K-2. Olej mógł być </w:t>
      </w:r>
      <w:proofErr w:type="spellStart"/>
      <w:r w:rsidRPr="008B55C6">
        <w:rPr>
          <w:rFonts w:ascii="Arial" w:eastAsiaTheme="minorHAnsi" w:hAnsi="Arial" w:cs="Arial"/>
          <w:color w:val="000000"/>
          <w:lang w:eastAsia="en-US"/>
        </w:rPr>
        <w:t>współspalany</w:t>
      </w:r>
      <w:proofErr w:type="spellEnd"/>
      <w:r w:rsidRPr="008B55C6">
        <w:rPr>
          <w:rFonts w:ascii="Arial" w:eastAsiaTheme="minorHAnsi" w:hAnsi="Arial" w:cs="Arial"/>
          <w:color w:val="000000"/>
          <w:lang w:eastAsia="en-US"/>
        </w:rPr>
        <w:t xml:space="preserve"> z gazem ziemnym, bądź stosowany jako paliwo indywidualne.</w:t>
      </w:r>
    </w:p>
    <w:p w14:paraId="670AB121"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03A274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Kotły eksploatowane są w wariantach pracy uzależnionych od sezonowego zapotrzebowania na parę oraz dostaw pary grzewczej do ANWIL S.A. przez dostawcę zewnętrznego.</w:t>
      </w:r>
    </w:p>
    <w:p w14:paraId="720215B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508643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Zmienne zapotrzebowanie energetyczne instalacji produkcyjnych ANWIL S.A. oraz częściowe uzależnienie od dostawcy zewnętrznego energii powoduje konieczność odpowiedniego planowania funkcjonowania Elektrociepłowni w ciągu całego okresu jej eksploatacji (w skali roku) tak, aby zapewnić niezależnie od sytuacji ruchowej prawidłowe funkcjonowanie procesów produkcyjnych, ich płynność oraz wysoki poziom efektywności wykorzystania paliwa przy spełnionych wymaganiach w zakresie ochrony środowiska.</w:t>
      </w:r>
    </w:p>
    <w:p w14:paraId="3DF9CF0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387FDBC" w14:textId="6E5A587A"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Oprócz ww. źródeł w obrębie instalacji nie występują miejsca i procesy mogące skutkować emisją do powietrza.</w:t>
      </w:r>
    </w:p>
    <w:p w14:paraId="031DE60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D0D332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Instalacji spalania paliw – Elektrociepłowni, nie stosuje się urządzeń ochrony atmosfery. Metodą ograniczającą negatywny wpływ instalacji na jakość powietrza atmosferycznego jest wykorzystywanie jako paliwa gazu ziemnego, którego spalanie wiąże się z niewielką skalą emisji substancji do powietrza.</w:t>
      </w:r>
    </w:p>
    <w:p w14:paraId="6E70AFB1"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4111D8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Substancje charakterystyczne dla procesu spalania paliw są również emitowane z innych źródeł ANWIL S.A., eksploatowanych w obszarach produkcyjnych Zakładu.</w:t>
      </w:r>
    </w:p>
    <w:p w14:paraId="4FA774A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632063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Rozbudowa Instalacji spalania paliw – Elektrociepłowni, będzie się wiązała z powstaniem nowych źródeł emisji:</w:t>
      </w:r>
    </w:p>
    <w:p w14:paraId="2824B7D5" w14:textId="77777777" w:rsidR="003D5B90" w:rsidRPr="008B55C6" w:rsidRDefault="003D5B90" w:rsidP="00177F94">
      <w:pPr>
        <w:pStyle w:val="Akapitzlist"/>
        <w:numPr>
          <w:ilvl w:val="0"/>
          <w:numId w:val="1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kotła K-5 o mocy cieplnej ok. 40 MW opalanego gazem ziemnym (moc kotła w dostarczonym paliwie ok. 42,1 MW),</w:t>
      </w:r>
    </w:p>
    <w:p w14:paraId="23AD3009" w14:textId="77777777" w:rsidR="003D5B90" w:rsidRPr="008B55C6" w:rsidRDefault="003D5B90" w:rsidP="00177F94">
      <w:pPr>
        <w:pStyle w:val="Akapitzlist"/>
        <w:numPr>
          <w:ilvl w:val="0"/>
          <w:numId w:val="1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kotła K-6 o mocy cieplnej ok. 40 lub ok. 46 MW opalanego gazem ziemnym (moc kotła w dostarczonym paliwie ok. 42,1 lub 48,5 MW),</w:t>
      </w:r>
    </w:p>
    <w:p w14:paraId="461891F3" w14:textId="77777777" w:rsidR="003D5B90" w:rsidRPr="008B55C6" w:rsidRDefault="003D5B90" w:rsidP="00177F94">
      <w:pPr>
        <w:pStyle w:val="Akapitzlist"/>
        <w:numPr>
          <w:ilvl w:val="0"/>
          <w:numId w:val="18"/>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kotła K-7 o mocy ok. 46 MW opalanego gazem ziemnym (moc kotła w dostarczonym w paliwie ok. 48,5 MW).</w:t>
      </w:r>
    </w:p>
    <w:p w14:paraId="37A3F876" w14:textId="77777777" w:rsidR="003D5B90" w:rsidRPr="008B55C6" w:rsidRDefault="003D5B90" w:rsidP="00177F94">
      <w:pPr>
        <w:pStyle w:val="Akapitzlist"/>
        <w:autoSpaceDE w:val="0"/>
        <w:autoSpaceDN w:val="0"/>
        <w:adjustRightInd w:val="0"/>
        <w:spacing w:line="360" w:lineRule="auto"/>
        <w:rPr>
          <w:rFonts w:ascii="Arial" w:eastAsiaTheme="minorHAnsi" w:hAnsi="Arial" w:cs="Arial"/>
          <w:color w:val="000000"/>
          <w:lang w:eastAsia="en-US"/>
        </w:rPr>
      </w:pPr>
    </w:p>
    <w:p w14:paraId="287F90E6"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Poniżej przedstawia się planowane parametry nowych emitorów:</w:t>
      </w:r>
    </w:p>
    <w:p w14:paraId="40E68CB7"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p>
    <w:tbl>
      <w:tblPr>
        <w:tblStyle w:val="Tabela-Siatka"/>
        <w:tblW w:w="0" w:type="auto"/>
        <w:tblInd w:w="0" w:type="dxa"/>
        <w:tblLook w:val="04A0" w:firstRow="1" w:lastRow="0" w:firstColumn="1" w:lastColumn="0" w:noHBand="0" w:noVBand="1"/>
      </w:tblPr>
      <w:tblGrid>
        <w:gridCol w:w="1281"/>
        <w:gridCol w:w="1084"/>
        <w:gridCol w:w="1201"/>
        <w:gridCol w:w="1339"/>
        <w:gridCol w:w="819"/>
        <w:gridCol w:w="1017"/>
        <w:gridCol w:w="1226"/>
        <w:gridCol w:w="1095"/>
      </w:tblGrid>
      <w:tr w:rsidR="003D5B90" w:rsidRPr="008B55C6" w14:paraId="67254A68" w14:textId="77777777" w:rsidTr="003D5B90">
        <w:trPr>
          <w:trHeight w:val="765"/>
        </w:trPr>
        <w:tc>
          <w:tcPr>
            <w:tcW w:w="1476" w:type="dxa"/>
            <w:vMerge w:val="restart"/>
            <w:tcBorders>
              <w:top w:val="single" w:sz="4" w:space="0" w:color="auto"/>
              <w:left w:val="single" w:sz="4" w:space="0" w:color="auto"/>
              <w:bottom w:val="single" w:sz="4" w:space="0" w:color="auto"/>
              <w:right w:val="single" w:sz="4" w:space="0" w:color="auto"/>
            </w:tcBorders>
            <w:hideMark/>
          </w:tcPr>
          <w:p w14:paraId="67B1150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Kocioł</w:t>
            </w:r>
          </w:p>
        </w:tc>
        <w:tc>
          <w:tcPr>
            <w:tcW w:w="1217" w:type="dxa"/>
            <w:tcBorders>
              <w:top w:val="single" w:sz="4" w:space="0" w:color="auto"/>
              <w:left w:val="single" w:sz="4" w:space="0" w:color="auto"/>
              <w:bottom w:val="single" w:sz="4" w:space="0" w:color="auto"/>
              <w:right w:val="single" w:sz="4" w:space="0" w:color="auto"/>
            </w:tcBorders>
          </w:tcPr>
          <w:p w14:paraId="0F81AC5B"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Moc cieplna kotła</w:t>
            </w:r>
          </w:p>
          <w:p w14:paraId="7CBDD29B"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p>
          <w:p w14:paraId="19458351"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1ACB6969"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Minimalna wysokość emitora</w:t>
            </w:r>
          </w:p>
        </w:tc>
        <w:tc>
          <w:tcPr>
            <w:tcW w:w="1137" w:type="dxa"/>
            <w:tcBorders>
              <w:top w:val="single" w:sz="4" w:space="0" w:color="auto"/>
              <w:left w:val="single" w:sz="4" w:space="0" w:color="auto"/>
              <w:bottom w:val="single" w:sz="4" w:space="0" w:color="auto"/>
              <w:right w:val="single" w:sz="4" w:space="0" w:color="auto"/>
            </w:tcBorders>
            <w:hideMark/>
          </w:tcPr>
          <w:p w14:paraId="0897905A"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Maksymalna średnica emitora</w:t>
            </w:r>
          </w:p>
        </w:tc>
        <w:tc>
          <w:tcPr>
            <w:tcW w:w="833" w:type="dxa"/>
            <w:tcBorders>
              <w:top w:val="single" w:sz="4" w:space="0" w:color="auto"/>
              <w:left w:val="single" w:sz="4" w:space="0" w:color="auto"/>
              <w:bottom w:val="single" w:sz="4" w:space="0" w:color="auto"/>
              <w:right w:val="single" w:sz="4" w:space="0" w:color="auto"/>
            </w:tcBorders>
            <w:hideMark/>
          </w:tcPr>
          <w:p w14:paraId="398990C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Temp. gazów</w:t>
            </w:r>
          </w:p>
        </w:tc>
        <w:tc>
          <w:tcPr>
            <w:tcW w:w="894" w:type="dxa"/>
            <w:tcBorders>
              <w:top w:val="single" w:sz="4" w:space="0" w:color="auto"/>
              <w:left w:val="single" w:sz="4" w:space="0" w:color="auto"/>
              <w:bottom w:val="single" w:sz="4" w:space="0" w:color="auto"/>
              <w:right w:val="single" w:sz="4" w:space="0" w:color="auto"/>
            </w:tcBorders>
            <w:hideMark/>
          </w:tcPr>
          <w:p w14:paraId="6D850CF2"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Strumień gazów</w:t>
            </w:r>
          </w:p>
        </w:tc>
        <w:tc>
          <w:tcPr>
            <w:tcW w:w="1326" w:type="dxa"/>
            <w:tcBorders>
              <w:top w:val="single" w:sz="4" w:space="0" w:color="auto"/>
              <w:left w:val="single" w:sz="4" w:space="0" w:color="auto"/>
              <w:bottom w:val="single" w:sz="4" w:space="0" w:color="auto"/>
              <w:right w:val="single" w:sz="4" w:space="0" w:color="auto"/>
            </w:tcBorders>
            <w:hideMark/>
          </w:tcPr>
          <w:p w14:paraId="244E7F26"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Prędkość spalin</w:t>
            </w:r>
          </w:p>
        </w:tc>
        <w:tc>
          <w:tcPr>
            <w:tcW w:w="937" w:type="dxa"/>
            <w:vMerge w:val="restart"/>
            <w:tcBorders>
              <w:top w:val="single" w:sz="4" w:space="0" w:color="auto"/>
              <w:left w:val="single" w:sz="4" w:space="0" w:color="auto"/>
              <w:bottom w:val="single" w:sz="4" w:space="0" w:color="auto"/>
              <w:right w:val="single" w:sz="4" w:space="0" w:color="auto"/>
            </w:tcBorders>
            <w:hideMark/>
          </w:tcPr>
          <w:p w14:paraId="7270A98C"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Charakter wylotu</w:t>
            </w:r>
          </w:p>
        </w:tc>
      </w:tr>
      <w:tr w:rsidR="003D5B90" w:rsidRPr="008B55C6" w14:paraId="20426CC9" w14:textId="77777777" w:rsidTr="003D5B9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45D03" w14:textId="77777777" w:rsidR="003D5B90" w:rsidRPr="008B55C6" w:rsidRDefault="003D5B90" w:rsidP="00177F94">
            <w:pPr>
              <w:spacing w:line="360" w:lineRule="auto"/>
              <w:rPr>
                <w:rFonts w:ascii="Arial" w:eastAsiaTheme="minorHAnsi" w:hAnsi="Arial" w:cs="Arial"/>
                <w:color w:val="000000"/>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14:paraId="6890FEC6"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MW</w:t>
            </w:r>
          </w:p>
        </w:tc>
        <w:tc>
          <w:tcPr>
            <w:tcW w:w="1242" w:type="dxa"/>
            <w:tcBorders>
              <w:top w:val="single" w:sz="4" w:space="0" w:color="auto"/>
              <w:left w:val="single" w:sz="4" w:space="0" w:color="auto"/>
              <w:bottom w:val="single" w:sz="4" w:space="0" w:color="auto"/>
              <w:right w:val="single" w:sz="4" w:space="0" w:color="auto"/>
            </w:tcBorders>
            <w:hideMark/>
          </w:tcPr>
          <w:p w14:paraId="1D8AE519"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w:t>
            </w:r>
          </w:p>
        </w:tc>
        <w:tc>
          <w:tcPr>
            <w:tcW w:w="1137" w:type="dxa"/>
            <w:tcBorders>
              <w:top w:val="single" w:sz="4" w:space="0" w:color="auto"/>
              <w:left w:val="single" w:sz="4" w:space="0" w:color="auto"/>
              <w:bottom w:val="single" w:sz="4" w:space="0" w:color="auto"/>
              <w:right w:val="single" w:sz="4" w:space="0" w:color="auto"/>
            </w:tcBorders>
            <w:hideMark/>
          </w:tcPr>
          <w:p w14:paraId="7483AA86"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w:t>
            </w:r>
          </w:p>
        </w:tc>
        <w:tc>
          <w:tcPr>
            <w:tcW w:w="833" w:type="dxa"/>
            <w:tcBorders>
              <w:top w:val="single" w:sz="4" w:space="0" w:color="auto"/>
              <w:left w:val="single" w:sz="4" w:space="0" w:color="auto"/>
              <w:bottom w:val="single" w:sz="4" w:space="0" w:color="auto"/>
              <w:right w:val="single" w:sz="4" w:space="0" w:color="auto"/>
            </w:tcBorders>
            <w:hideMark/>
          </w:tcPr>
          <w:p w14:paraId="7A31CA97"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K</w:t>
            </w:r>
          </w:p>
        </w:tc>
        <w:tc>
          <w:tcPr>
            <w:tcW w:w="894" w:type="dxa"/>
            <w:tcBorders>
              <w:top w:val="single" w:sz="4" w:space="0" w:color="auto"/>
              <w:left w:val="single" w:sz="4" w:space="0" w:color="auto"/>
              <w:bottom w:val="single" w:sz="4" w:space="0" w:color="auto"/>
              <w:right w:val="single" w:sz="4" w:space="0" w:color="auto"/>
            </w:tcBorders>
            <w:hideMark/>
          </w:tcPr>
          <w:p w14:paraId="6336030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Nm</w:t>
            </w:r>
            <w:r w:rsidRPr="008B55C6">
              <w:rPr>
                <w:rFonts w:ascii="Arial" w:eastAsiaTheme="minorHAnsi" w:hAnsi="Arial" w:cs="Arial"/>
                <w:color w:val="000000"/>
                <w:sz w:val="20"/>
                <w:szCs w:val="20"/>
                <w:vertAlign w:val="superscript"/>
                <w:lang w:eastAsia="en-US"/>
              </w:rPr>
              <w:t>3</w:t>
            </w:r>
            <w:r w:rsidRPr="008B55C6">
              <w:rPr>
                <w:rFonts w:ascii="Arial" w:eastAsiaTheme="minorHAnsi" w:hAnsi="Arial" w:cs="Arial"/>
                <w:color w:val="000000"/>
                <w:sz w:val="20"/>
                <w:szCs w:val="20"/>
                <w:lang w:eastAsia="en-US"/>
              </w:rPr>
              <w:t>/h</w:t>
            </w:r>
          </w:p>
        </w:tc>
        <w:tc>
          <w:tcPr>
            <w:tcW w:w="1326" w:type="dxa"/>
            <w:tcBorders>
              <w:top w:val="single" w:sz="4" w:space="0" w:color="auto"/>
              <w:left w:val="single" w:sz="4" w:space="0" w:color="auto"/>
              <w:bottom w:val="single" w:sz="4" w:space="0" w:color="auto"/>
              <w:right w:val="single" w:sz="4" w:space="0" w:color="auto"/>
            </w:tcBorders>
            <w:hideMark/>
          </w:tcPr>
          <w:p w14:paraId="2A202833"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2E686" w14:textId="77777777" w:rsidR="003D5B90" w:rsidRPr="008B55C6" w:rsidRDefault="003D5B90" w:rsidP="00177F94">
            <w:pPr>
              <w:spacing w:line="360" w:lineRule="auto"/>
              <w:rPr>
                <w:rFonts w:ascii="Arial" w:eastAsiaTheme="minorHAnsi" w:hAnsi="Arial" w:cs="Arial"/>
                <w:color w:val="000000"/>
                <w:sz w:val="20"/>
                <w:szCs w:val="20"/>
                <w:lang w:eastAsia="en-US"/>
              </w:rPr>
            </w:pPr>
          </w:p>
        </w:tc>
      </w:tr>
      <w:tr w:rsidR="003D5B90" w:rsidRPr="008B55C6" w14:paraId="58AD5DC8" w14:textId="77777777" w:rsidTr="003D5B90">
        <w:tc>
          <w:tcPr>
            <w:tcW w:w="1476" w:type="dxa"/>
            <w:tcBorders>
              <w:top w:val="single" w:sz="4" w:space="0" w:color="auto"/>
              <w:left w:val="single" w:sz="4" w:space="0" w:color="auto"/>
              <w:bottom w:val="single" w:sz="4" w:space="0" w:color="auto"/>
              <w:right w:val="single" w:sz="4" w:space="0" w:color="auto"/>
            </w:tcBorders>
            <w:hideMark/>
          </w:tcPr>
          <w:p w14:paraId="2F542726"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Kocioł K-5/emitor 2E-108</w:t>
            </w:r>
          </w:p>
        </w:tc>
        <w:tc>
          <w:tcPr>
            <w:tcW w:w="1217" w:type="dxa"/>
            <w:tcBorders>
              <w:top w:val="single" w:sz="4" w:space="0" w:color="auto"/>
              <w:left w:val="single" w:sz="4" w:space="0" w:color="auto"/>
              <w:bottom w:val="single" w:sz="4" w:space="0" w:color="auto"/>
              <w:right w:val="single" w:sz="4" w:space="0" w:color="auto"/>
            </w:tcBorders>
            <w:hideMark/>
          </w:tcPr>
          <w:p w14:paraId="4A6EA543"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ok. 40</w:t>
            </w:r>
          </w:p>
        </w:tc>
        <w:tc>
          <w:tcPr>
            <w:tcW w:w="1242" w:type="dxa"/>
            <w:tcBorders>
              <w:top w:val="single" w:sz="4" w:space="0" w:color="auto"/>
              <w:left w:val="single" w:sz="4" w:space="0" w:color="auto"/>
              <w:bottom w:val="single" w:sz="4" w:space="0" w:color="auto"/>
              <w:right w:val="single" w:sz="4" w:space="0" w:color="auto"/>
            </w:tcBorders>
            <w:hideMark/>
          </w:tcPr>
          <w:p w14:paraId="11C6C79F"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47,3</w:t>
            </w:r>
          </w:p>
        </w:tc>
        <w:tc>
          <w:tcPr>
            <w:tcW w:w="1137" w:type="dxa"/>
            <w:tcBorders>
              <w:top w:val="single" w:sz="4" w:space="0" w:color="auto"/>
              <w:left w:val="single" w:sz="4" w:space="0" w:color="auto"/>
              <w:bottom w:val="single" w:sz="4" w:space="0" w:color="auto"/>
              <w:right w:val="single" w:sz="4" w:space="0" w:color="auto"/>
            </w:tcBorders>
            <w:hideMark/>
          </w:tcPr>
          <w:p w14:paraId="11E4CECB"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1,6</w:t>
            </w:r>
          </w:p>
        </w:tc>
        <w:tc>
          <w:tcPr>
            <w:tcW w:w="833" w:type="dxa"/>
            <w:tcBorders>
              <w:top w:val="single" w:sz="4" w:space="0" w:color="auto"/>
              <w:left w:val="single" w:sz="4" w:space="0" w:color="auto"/>
              <w:bottom w:val="single" w:sz="4" w:space="0" w:color="auto"/>
              <w:right w:val="single" w:sz="4" w:space="0" w:color="auto"/>
            </w:tcBorders>
            <w:hideMark/>
          </w:tcPr>
          <w:p w14:paraId="11DE05C9"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393</w:t>
            </w:r>
          </w:p>
        </w:tc>
        <w:tc>
          <w:tcPr>
            <w:tcW w:w="894" w:type="dxa"/>
            <w:tcBorders>
              <w:top w:val="single" w:sz="4" w:space="0" w:color="auto"/>
              <w:left w:val="single" w:sz="4" w:space="0" w:color="auto"/>
              <w:bottom w:val="single" w:sz="4" w:space="0" w:color="auto"/>
              <w:right w:val="single" w:sz="4" w:space="0" w:color="auto"/>
            </w:tcBorders>
            <w:hideMark/>
          </w:tcPr>
          <w:p w14:paraId="0D90A0CD"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60 000</w:t>
            </w:r>
          </w:p>
        </w:tc>
        <w:tc>
          <w:tcPr>
            <w:tcW w:w="1326" w:type="dxa"/>
            <w:tcBorders>
              <w:top w:val="single" w:sz="4" w:space="0" w:color="auto"/>
              <w:left w:val="single" w:sz="4" w:space="0" w:color="auto"/>
              <w:bottom w:val="single" w:sz="4" w:space="0" w:color="auto"/>
              <w:right w:val="single" w:sz="4" w:space="0" w:color="auto"/>
            </w:tcBorders>
            <w:hideMark/>
          </w:tcPr>
          <w:p w14:paraId="00759578"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min. 11,93</w:t>
            </w:r>
          </w:p>
        </w:tc>
        <w:tc>
          <w:tcPr>
            <w:tcW w:w="937" w:type="dxa"/>
            <w:tcBorders>
              <w:top w:val="single" w:sz="4" w:space="0" w:color="auto"/>
              <w:left w:val="single" w:sz="4" w:space="0" w:color="auto"/>
              <w:bottom w:val="single" w:sz="4" w:space="0" w:color="auto"/>
              <w:right w:val="single" w:sz="4" w:space="0" w:color="auto"/>
            </w:tcBorders>
            <w:hideMark/>
          </w:tcPr>
          <w:p w14:paraId="39F3CA87"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otwarty</w:t>
            </w:r>
          </w:p>
        </w:tc>
      </w:tr>
      <w:tr w:rsidR="003D5B90" w:rsidRPr="008B55C6" w14:paraId="7B8A7918" w14:textId="77777777" w:rsidTr="003D5B90">
        <w:tc>
          <w:tcPr>
            <w:tcW w:w="1476" w:type="dxa"/>
            <w:tcBorders>
              <w:top w:val="single" w:sz="4" w:space="0" w:color="auto"/>
              <w:left w:val="single" w:sz="4" w:space="0" w:color="auto"/>
              <w:bottom w:val="single" w:sz="4" w:space="0" w:color="auto"/>
              <w:right w:val="single" w:sz="4" w:space="0" w:color="auto"/>
            </w:tcBorders>
            <w:hideMark/>
          </w:tcPr>
          <w:p w14:paraId="0DF3A491"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Kocioł K-6/emitor 2E-109</w:t>
            </w:r>
          </w:p>
        </w:tc>
        <w:tc>
          <w:tcPr>
            <w:tcW w:w="1217" w:type="dxa"/>
            <w:tcBorders>
              <w:top w:val="single" w:sz="4" w:space="0" w:color="auto"/>
              <w:left w:val="single" w:sz="4" w:space="0" w:color="auto"/>
              <w:bottom w:val="single" w:sz="4" w:space="0" w:color="auto"/>
              <w:right w:val="single" w:sz="4" w:space="0" w:color="auto"/>
            </w:tcBorders>
            <w:hideMark/>
          </w:tcPr>
          <w:p w14:paraId="56FCF929"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ok. 40 lub ok. 46</w:t>
            </w:r>
          </w:p>
        </w:tc>
        <w:tc>
          <w:tcPr>
            <w:tcW w:w="1242" w:type="dxa"/>
            <w:tcBorders>
              <w:top w:val="single" w:sz="4" w:space="0" w:color="auto"/>
              <w:left w:val="single" w:sz="4" w:space="0" w:color="auto"/>
              <w:bottom w:val="single" w:sz="4" w:space="0" w:color="auto"/>
              <w:right w:val="single" w:sz="4" w:space="0" w:color="auto"/>
            </w:tcBorders>
            <w:hideMark/>
          </w:tcPr>
          <w:p w14:paraId="41EF735C"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47,3</w:t>
            </w:r>
          </w:p>
        </w:tc>
        <w:tc>
          <w:tcPr>
            <w:tcW w:w="1137" w:type="dxa"/>
            <w:tcBorders>
              <w:top w:val="single" w:sz="4" w:space="0" w:color="auto"/>
              <w:left w:val="single" w:sz="4" w:space="0" w:color="auto"/>
              <w:bottom w:val="single" w:sz="4" w:space="0" w:color="auto"/>
              <w:right w:val="single" w:sz="4" w:space="0" w:color="auto"/>
            </w:tcBorders>
            <w:hideMark/>
          </w:tcPr>
          <w:p w14:paraId="1A29659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1,6</w:t>
            </w:r>
          </w:p>
        </w:tc>
        <w:tc>
          <w:tcPr>
            <w:tcW w:w="833" w:type="dxa"/>
            <w:tcBorders>
              <w:top w:val="single" w:sz="4" w:space="0" w:color="auto"/>
              <w:left w:val="single" w:sz="4" w:space="0" w:color="auto"/>
              <w:bottom w:val="single" w:sz="4" w:space="0" w:color="auto"/>
              <w:right w:val="single" w:sz="4" w:space="0" w:color="auto"/>
            </w:tcBorders>
            <w:hideMark/>
          </w:tcPr>
          <w:p w14:paraId="412C2608"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393</w:t>
            </w:r>
          </w:p>
        </w:tc>
        <w:tc>
          <w:tcPr>
            <w:tcW w:w="894" w:type="dxa"/>
            <w:tcBorders>
              <w:top w:val="single" w:sz="4" w:space="0" w:color="auto"/>
              <w:left w:val="single" w:sz="4" w:space="0" w:color="auto"/>
              <w:bottom w:val="single" w:sz="4" w:space="0" w:color="auto"/>
              <w:right w:val="single" w:sz="4" w:space="0" w:color="auto"/>
            </w:tcBorders>
            <w:hideMark/>
          </w:tcPr>
          <w:p w14:paraId="55BBCD42"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vertAlign w:val="superscript"/>
                <w:lang w:eastAsia="en-US"/>
              </w:rPr>
            </w:pPr>
            <w:r w:rsidRPr="008B55C6">
              <w:rPr>
                <w:rFonts w:ascii="Arial" w:eastAsiaTheme="minorHAnsi" w:hAnsi="Arial" w:cs="Arial"/>
                <w:color w:val="000000"/>
                <w:sz w:val="20"/>
                <w:szCs w:val="20"/>
                <w:lang w:eastAsia="en-US"/>
              </w:rPr>
              <w:t>69 300</w:t>
            </w:r>
            <w:r w:rsidRPr="008B55C6">
              <w:rPr>
                <w:rFonts w:ascii="Arial" w:eastAsiaTheme="minorHAnsi" w:hAnsi="Arial" w:cs="Arial"/>
                <w:color w:val="000000"/>
                <w:sz w:val="20"/>
                <w:szCs w:val="20"/>
                <w:vertAlign w:val="superscript"/>
                <w:lang w:eastAsia="en-US"/>
              </w:rPr>
              <w:t>1)</w:t>
            </w:r>
          </w:p>
          <w:p w14:paraId="20BE3A57"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vertAlign w:val="superscript"/>
                <w:lang w:eastAsia="en-US"/>
              </w:rPr>
            </w:pPr>
            <w:r w:rsidRPr="008B55C6">
              <w:rPr>
                <w:rFonts w:ascii="Arial" w:eastAsiaTheme="minorHAnsi" w:hAnsi="Arial" w:cs="Arial"/>
                <w:color w:val="000000"/>
                <w:sz w:val="20"/>
                <w:szCs w:val="20"/>
                <w:lang w:eastAsia="en-US"/>
              </w:rPr>
              <w:t>60 000</w:t>
            </w:r>
            <w:r w:rsidRPr="008B55C6">
              <w:rPr>
                <w:rFonts w:ascii="Arial" w:eastAsiaTheme="minorHAnsi" w:hAnsi="Arial" w:cs="Arial"/>
                <w:color w:val="000000"/>
                <w:sz w:val="20"/>
                <w:szCs w:val="20"/>
                <w:vertAlign w:val="superscript"/>
                <w:lang w:eastAsia="en-US"/>
              </w:rPr>
              <w:t>2)</w:t>
            </w:r>
          </w:p>
        </w:tc>
        <w:tc>
          <w:tcPr>
            <w:tcW w:w="1326" w:type="dxa"/>
            <w:tcBorders>
              <w:top w:val="single" w:sz="4" w:space="0" w:color="auto"/>
              <w:left w:val="single" w:sz="4" w:space="0" w:color="auto"/>
              <w:bottom w:val="single" w:sz="4" w:space="0" w:color="auto"/>
              <w:right w:val="single" w:sz="4" w:space="0" w:color="auto"/>
            </w:tcBorders>
          </w:tcPr>
          <w:p w14:paraId="3CD0DB85"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 xml:space="preserve">min. 13,78 </w:t>
            </w:r>
            <w:r w:rsidRPr="008B55C6">
              <w:rPr>
                <w:rFonts w:ascii="Arial" w:eastAsiaTheme="minorHAnsi" w:hAnsi="Arial" w:cs="Arial"/>
                <w:color w:val="000000"/>
                <w:sz w:val="20"/>
                <w:szCs w:val="20"/>
                <w:vertAlign w:val="superscript"/>
                <w:lang w:eastAsia="en-US"/>
              </w:rPr>
              <w:t>1)</w:t>
            </w:r>
          </w:p>
          <w:p w14:paraId="338254D5"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vertAlign w:val="superscript"/>
                <w:lang w:eastAsia="en-US"/>
              </w:rPr>
            </w:pPr>
            <w:r w:rsidRPr="008B55C6">
              <w:rPr>
                <w:rFonts w:ascii="Arial" w:eastAsiaTheme="minorHAnsi" w:hAnsi="Arial" w:cs="Arial"/>
                <w:color w:val="000000"/>
                <w:sz w:val="20"/>
                <w:szCs w:val="20"/>
                <w:lang w:eastAsia="en-US"/>
              </w:rPr>
              <w:t>min. 11,93</w:t>
            </w:r>
            <w:r w:rsidRPr="008B55C6">
              <w:rPr>
                <w:rFonts w:ascii="Arial" w:eastAsiaTheme="minorHAnsi" w:hAnsi="Arial" w:cs="Arial"/>
                <w:color w:val="000000"/>
                <w:sz w:val="20"/>
                <w:szCs w:val="20"/>
                <w:vertAlign w:val="superscript"/>
                <w:lang w:eastAsia="en-US"/>
              </w:rPr>
              <w:t>2)</w:t>
            </w:r>
          </w:p>
          <w:p w14:paraId="29FD4F37"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vertAlign w:val="superscript"/>
                <w:lang w:eastAsia="en-US"/>
              </w:rPr>
            </w:pPr>
          </w:p>
        </w:tc>
        <w:tc>
          <w:tcPr>
            <w:tcW w:w="937" w:type="dxa"/>
            <w:tcBorders>
              <w:top w:val="single" w:sz="4" w:space="0" w:color="auto"/>
              <w:left w:val="single" w:sz="4" w:space="0" w:color="auto"/>
              <w:bottom w:val="single" w:sz="4" w:space="0" w:color="auto"/>
              <w:right w:val="single" w:sz="4" w:space="0" w:color="auto"/>
            </w:tcBorders>
            <w:hideMark/>
          </w:tcPr>
          <w:p w14:paraId="75D4B0AB"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otwarty</w:t>
            </w:r>
          </w:p>
        </w:tc>
      </w:tr>
      <w:tr w:rsidR="003D5B90" w:rsidRPr="008B55C6" w14:paraId="2A8C0C8C" w14:textId="77777777" w:rsidTr="003D5B90">
        <w:tc>
          <w:tcPr>
            <w:tcW w:w="1476" w:type="dxa"/>
            <w:tcBorders>
              <w:top w:val="single" w:sz="4" w:space="0" w:color="auto"/>
              <w:left w:val="single" w:sz="4" w:space="0" w:color="auto"/>
              <w:bottom w:val="single" w:sz="4" w:space="0" w:color="auto"/>
              <w:right w:val="single" w:sz="4" w:space="0" w:color="auto"/>
            </w:tcBorders>
            <w:hideMark/>
          </w:tcPr>
          <w:p w14:paraId="0A5479F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Kocioł K-7/emitor 2E-110</w:t>
            </w:r>
          </w:p>
        </w:tc>
        <w:tc>
          <w:tcPr>
            <w:tcW w:w="1217" w:type="dxa"/>
            <w:tcBorders>
              <w:top w:val="single" w:sz="4" w:space="0" w:color="auto"/>
              <w:left w:val="single" w:sz="4" w:space="0" w:color="auto"/>
              <w:bottom w:val="single" w:sz="4" w:space="0" w:color="auto"/>
              <w:right w:val="single" w:sz="4" w:space="0" w:color="auto"/>
            </w:tcBorders>
            <w:hideMark/>
          </w:tcPr>
          <w:p w14:paraId="65D8CAE1"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ok. 46</w:t>
            </w:r>
          </w:p>
        </w:tc>
        <w:tc>
          <w:tcPr>
            <w:tcW w:w="1242" w:type="dxa"/>
            <w:tcBorders>
              <w:top w:val="single" w:sz="4" w:space="0" w:color="auto"/>
              <w:left w:val="single" w:sz="4" w:space="0" w:color="auto"/>
              <w:bottom w:val="single" w:sz="4" w:space="0" w:color="auto"/>
              <w:right w:val="single" w:sz="4" w:space="0" w:color="auto"/>
            </w:tcBorders>
            <w:hideMark/>
          </w:tcPr>
          <w:p w14:paraId="48EC1020"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47,3</w:t>
            </w:r>
          </w:p>
        </w:tc>
        <w:tc>
          <w:tcPr>
            <w:tcW w:w="1137" w:type="dxa"/>
            <w:tcBorders>
              <w:top w:val="single" w:sz="4" w:space="0" w:color="auto"/>
              <w:left w:val="single" w:sz="4" w:space="0" w:color="auto"/>
              <w:bottom w:val="single" w:sz="4" w:space="0" w:color="auto"/>
              <w:right w:val="single" w:sz="4" w:space="0" w:color="auto"/>
            </w:tcBorders>
            <w:hideMark/>
          </w:tcPr>
          <w:p w14:paraId="2333752B"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1,6</w:t>
            </w:r>
          </w:p>
        </w:tc>
        <w:tc>
          <w:tcPr>
            <w:tcW w:w="833" w:type="dxa"/>
            <w:tcBorders>
              <w:top w:val="single" w:sz="4" w:space="0" w:color="auto"/>
              <w:left w:val="single" w:sz="4" w:space="0" w:color="auto"/>
              <w:bottom w:val="single" w:sz="4" w:space="0" w:color="auto"/>
              <w:right w:val="single" w:sz="4" w:space="0" w:color="auto"/>
            </w:tcBorders>
            <w:hideMark/>
          </w:tcPr>
          <w:p w14:paraId="0822A86C"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393</w:t>
            </w:r>
          </w:p>
        </w:tc>
        <w:tc>
          <w:tcPr>
            <w:tcW w:w="894" w:type="dxa"/>
            <w:tcBorders>
              <w:top w:val="single" w:sz="4" w:space="0" w:color="auto"/>
              <w:left w:val="single" w:sz="4" w:space="0" w:color="auto"/>
              <w:bottom w:val="single" w:sz="4" w:space="0" w:color="auto"/>
              <w:right w:val="single" w:sz="4" w:space="0" w:color="auto"/>
            </w:tcBorders>
            <w:hideMark/>
          </w:tcPr>
          <w:p w14:paraId="34A3FABF"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60 000</w:t>
            </w:r>
          </w:p>
        </w:tc>
        <w:tc>
          <w:tcPr>
            <w:tcW w:w="1326" w:type="dxa"/>
            <w:tcBorders>
              <w:top w:val="single" w:sz="4" w:space="0" w:color="auto"/>
              <w:left w:val="single" w:sz="4" w:space="0" w:color="auto"/>
              <w:bottom w:val="single" w:sz="4" w:space="0" w:color="auto"/>
              <w:right w:val="single" w:sz="4" w:space="0" w:color="auto"/>
            </w:tcBorders>
            <w:hideMark/>
          </w:tcPr>
          <w:p w14:paraId="11D73E1E"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min. 13,78</w:t>
            </w:r>
          </w:p>
        </w:tc>
        <w:tc>
          <w:tcPr>
            <w:tcW w:w="937" w:type="dxa"/>
            <w:tcBorders>
              <w:top w:val="single" w:sz="4" w:space="0" w:color="auto"/>
              <w:left w:val="single" w:sz="4" w:space="0" w:color="auto"/>
              <w:bottom w:val="single" w:sz="4" w:space="0" w:color="auto"/>
              <w:right w:val="single" w:sz="4" w:space="0" w:color="auto"/>
            </w:tcBorders>
            <w:hideMark/>
          </w:tcPr>
          <w:p w14:paraId="0976B861"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lang w:eastAsia="en-US"/>
              </w:rPr>
              <w:t xml:space="preserve">otwarty </w:t>
            </w:r>
          </w:p>
        </w:tc>
      </w:tr>
    </w:tbl>
    <w:p w14:paraId="59CA303F"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vertAlign w:val="superscript"/>
          <w:lang w:eastAsia="en-US"/>
        </w:rPr>
        <w:t>1)</w:t>
      </w:r>
      <w:r w:rsidRPr="008B55C6">
        <w:rPr>
          <w:rFonts w:ascii="Arial" w:eastAsiaTheme="minorHAnsi" w:hAnsi="Arial" w:cs="Arial"/>
          <w:color w:val="000000"/>
          <w:sz w:val="20"/>
          <w:szCs w:val="20"/>
          <w:lang w:eastAsia="en-US"/>
        </w:rPr>
        <w:t xml:space="preserve"> wartość odpowiadająca mocy kotła na poziomie 46 MW,</w:t>
      </w:r>
    </w:p>
    <w:p w14:paraId="3CA9D57A" w14:textId="77777777" w:rsidR="003D5B90" w:rsidRPr="008B55C6" w:rsidRDefault="003D5B90" w:rsidP="00177F94">
      <w:pPr>
        <w:autoSpaceDE w:val="0"/>
        <w:autoSpaceDN w:val="0"/>
        <w:adjustRightInd w:val="0"/>
        <w:spacing w:line="360" w:lineRule="auto"/>
        <w:rPr>
          <w:rFonts w:ascii="Arial" w:eastAsiaTheme="minorHAnsi" w:hAnsi="Arial" w:cs="Arial"/>
          <w:color w:val="000000"/>
          <w:sz w:val="20"/>
          <w:szCs w:val="20"/>
          <w:lang w:eastAsia="en-US"/>
        </w:rPr>
      </w:pPr>
      <w:r w:rsidRPr="008B55C6">
        <w:rPr>
          <w:rFonts w:ascii="Arial" w:eastAsiaTheme="minorHAnsi" w:hAnsi="Arial" w:cs="Arial"/>
          <w:color w:val="000000"/>
          <w:sz w:val="20"/>
          <w:szCs w:val="20"/>
          <w:vertAlign w:val="superscript"/>
          <w:lang w:eastAsia="en-US"/>
        </w:rPr>
        <w:t>2)</w:t>
      </w:r>
      <w:r w:rsidRPr="008B55C6">
        <w:rPr>
          <w:rFonts w:ascii="Arial" w:eastAsiaTheme="minorHAnsi" w:hAnsi="Arial" w:cs="Arial"/>
          <w:color w:val="000000"/>
          <w:sz w:val="20"/>
          <w:szCs w:val="20"/>
          <w:lang w:eastAsia="en-US"/>
        </w:rPr>
        <w:t xml:space="preserve"> wartość odpowiadająca mocy kotła na poziomie 40 MW.</w:t>
      </w:r>
    </w:p>
    <w:p w14:paraId="5A6F751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0EB25E2" w14:textId="1B013A3B"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Uruchomienie nowych kotłów wiązać się będzie z ograniczeniem eksploatacji kotłów KM-1, KM-2 oraz przegrzewacza pary PP. Jednak ze względu na możliwą równoczesną pracę wymienionych źródeł z nowymi źródłami, w szczególności w </w:t>
      </w:r>
      <w:r w:rsidRPr="008B55C6">
        <w:rPr>
          <w:rFonts w:ascii="Arial" w:eastAsiaTheme="minorHAnsi" w:hAnsi="Arial" w:cs="Arial"/>
          <w:color w:val="000000"/>
          <w:lang w:eastAsia="en-US"/>
        </w:rPr>
        <w:lastRenderedPageBreak/>
        <w:t>początkowej fazie eksploatacji inwestycji, w modelu rozprzestrzeniania substancji w powietrzu uwzględniono wszystkie źródła Instalacji spalania paliw - Elektrociepłowni.</w:t>
      </w:r>
    </w:p>
    <w:p w14:paraId="5819099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392ED4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Nowe źródła spalania paliw po zastosowaniu, tzw. II zasady łączenia w myśl art. 157 a ust. 2 pkt 2 cyt. ustawy z dnia 27 kwietnia 2001 r. Prawo ochrony środowiska, będą stanowić jedno duże źródło spalania (&gt; 50 MW) i będą podlegać wymaganiom:</w:t>
      </w:r>
    </w:p>
    <w:p w14:paraId="46A5C443" w14:textId="77777777" w:rsidR="003D5B90" w:rsidRPr="008B55C6" w:rsidRDefault="003D5B90" w:rsidP="00177F94">
      <w:pPr>
        <w:pStyle w:val="Akapitzlist"/>
        <w:numPr>
          <w:ilvl w:val="0"/>
          <w:numId w:val="1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decyzji wykonawczej Komisji (UE) 2021/2326 z dnia 30 listopada 2021 r. ustanawiająca konkluzje dotyczące najlepszych dostępnych technik (BAT) w odniesieniu do dużych obiektów </w:t>
      </w:r>
      <w:r w:rsidRPr="008B55C6">
        <w:rPr>
          <w:rFonts w:ascii="Arial" w:eastAsiaTheme="minorHAnsi" w:hAnsi="Arial" w:cs="Arial"/>
          <w:color w:val="00000A"/>
          <w:lang w:eastAsia="en-US"/>
        </w:rPr>
        <w:t xml:space="preserve">energetycznego spalania zgodnie z dyrektywą Parlamentu Europejskiego i Rady 2010/75/UE (Konkluzje BAT); </w:t>
      </w:r>
    </w:p>
    <w:p w14:paraId="606727C3" w14:textId="77777777" w:rsidR="003D5B90" w:rsidRPr="008B55C6" w:rsidRDefault="003D5B90" w:rsidP="00177F94">
      <w:pPr>
        <w:pStyle w:val="Akapitzlist"/>
        <w:numPr>
          <w:ilvl w:val="0"/>
          <w:numId w:val="19"/>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załącznika nr 6 rozporządzenia Ministra Klimatu z dnia 24 września 2020 r. </w:t>
      </w:r>
      <w:r w:rsidRPr="008B55C6">
        <w:rPr>
          <w:rFonts w:ascii="Arial" w:eastAsiaTheme="minorHAnsi" w:hAnsi="Arial" w:cs="Arial"/>
          <w:color w:val="000000"/>
          <w:lang w:eastAsia="en-US"/>
        </w:rPr>
        <w:br/>
        <w:t>w sprawie standardów emisyjnych dla niektórych rodzajów instalacji, źródeł spalania paliw oraz urządzeń spalania lub współspalania odpadów (Dz.U. 2020 r., poz. 1860).</w:t>
      </w:r>
    </w:p>
    <w:p w14:paraId="706D537B"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D28884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uzupełnieniu Kip, odnosząc się do najważniejszych wymogów konkluzji BAT wskazano m.in., że dla nowych źródeł spalania będą stosowane następujące techniki prowadzące do zwiększenia efektywności energetycznej:</w:t>
      </w:r>
    </w:p>
    <w:p w14:paraId="06FFCEC1" w14:textId="77777777"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optymalizacja spalania - autonomiczny układ sterowania będzie umożliwiał zmianę stosunku paliwo-powietrze, a tym samym umożliwi utrzymywanie tej wielkości na poziomie ograniczającym niepełne spalanie,</w:t>
      </w:r>
    </w:p>
    <w:p w14:paraId="1EAB6AE0" w14:textId="77777777"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optymalizacja parametrów czynnika roboczego - źródła wytwórcze wyposażone będą w układy regulacji ciśnienia i temperatury pary,</w:t>
      </w:r>
    </w:p>
    <w:p w14:paraId="312FE606" w14:textId="77777777"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wstępne podgrzewanie wody zasilającej - odzysk ciepła z kondensatu,</w:t>
      </w:r>
    </w:p>
    <w:p w14:paraId="15983512" w14:textId="77777777"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kondensator spalin - ekonomizer kondensacyjny,</w:t>
      </w:r>
    </w:p>
    <w:p w14:paraId="0B38B28F" w14:textId="77777777"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minimalizacja zużycia energii - optymalizacja wykorzystania energii pomiędzy procesami </w:t>
      </w:r>
      <w:r w:rsidRPr="008B55C6">
        <w:rPr>
          <w:rFonts w:ascii="Arial" w:eastAsiaTheme="minorHAnsi" w:hAnsi="Arial" w:cs="Arial"/>
          <w:color w:val="000000"/>
          <w:lang w:eastAsia="en-US"/>
        </w:rPr>
        <w:br/>
        <w:t>i systemami w obrębie instalacji poprzez wprowadzenie jednolitego systemu nadzoru i rejestracji zużycia energii elektrycznej oraz optymalizacji parametrów pracy sprężarek, wentylatorów i pomp,</w:t>
      </w:r>
    </w:p>
    <w:p w14:paraId="1926C236" w14:textId="6317D2AA" w:rsidR="003D5B90" w:rsidRPr="008B55C6" w:rsidRDefault="003D5B90" w:rsidP="00177F94">
      <w:pPr>
        <w:pStyle w:val="Akapitzlist"/>
        <w:numPr>
          <w:ilvl w:val="0"/>
          <w:numId w:val="20"/>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zaawansowany system kontroli - proces wytwarzania pary w kotłach prowadzony</w:t>
      </w:r>
      <w:r w:rsidR="00177F94" w:rsidRPr="008B55C6">
        <w:rPr>
          <w:rFonts w:ascii="Arial" w:eastAsiaTheme="minorHAnsi" w:hAnsi="Arial" w:cs="Arial"/>
          <w:color w:val="000000"/>
          <w:lang w:eastAsia="en-US"/>
        </w:rPr>
        <w:t xml:space="preserve"> </w:t>
      </w:r>
      <w:r w:rsidRPr="008B55C6">
        <w:rPr>
          <w:rFonts w:ascii="Arial" w:eastAsiaTheme="minorHAnsi" w:hAnsi="Arial" w:cs="Arial"/>
          <w:color w:val="000000"/>
          <w:lang w:eastAsia="en-US"/>
        </w:rPr>
        <w:t>będzie przy pomocy automatycznego systemu sterowania (DCS).</w:t>
      </w:r>
    </w:p>
    <w:p w14:paraId="7EF5562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24F7DDE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W celu ograniczenia emisji NOX, do powietrza z procesu spalania gazu ziemnego w nowych kotłach, stosowane będą:</w:t>
      </w:r>
    </w:p>
    <w:p w14:paraId="5408D3F0" w14:textId="77777777" w:rsidR="003D5B90" w:rsidRPr="008B55C6" w:rsidRDefault="003D5B90" w:rsidP="00177F94">
      <w:pPr>
        <w:pStyle w:val="Akapitzlist"/>
        <w:numPr>
          <w:ilvl w:val="0"/>
          <w:numId w:val="21"/>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palniki o niskiej emisji NOX (LNB),</w:t>
      </w:r>
    </w:p>
    <w:p w14:paraId="71B7830A" w14:textId="77777777" w:rsidR="003D5B90" w:rsidRPr="008B55C6" w:rsidRDefault="003D5B90" w:rsidP="00177F94">
      <w:pPr>
        <w:pStyle w:val="Akapitzlist"/>
        <w:numPr>
          <w:ilvl w:val="0"/>
          <w:numId w:val="21"/>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zaawansowany system kontroli.</w:t>
      </w:r>
    </w:p>
    <w:p w14:paraId="282B033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526C36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Palniki niskoemisyjne zaprojektowane są w taki sposób, aby opóźnić i jednocześnie poprawić spalanie oraz zwiększyć transfer ciepła (zwiększona emisyjność płomienia).</w:t>
      </w:r>
    </w:p>
    <w:p w14:paraId="0B21F96B" w14:textId="77777777" w:rsidR="003D5B90" w:rsidRPr="008B55C6" w:rsidRDefault="003D5B90" w:rsidP="00177F94">
      <w:pPr>
        <w:autoSpaceDE w:val="0"/>
        <w:autoSpaceDN w:val="0"/>
        <w:adjustRightInd w:val="0"/>
        <w:spacing w:line="360" w:lineRule="auto"/>
        <w:rPr>
          <w:rFonts w:ascii="Arial" w:eastAsiaTheme="minorHAnsi" w:hAnsi="Arial" w:cs="Arial"/>
          <w:color w:val="00000A"/>
          <w:lang w:eastAsia="en-US"/>
        </w:rPr>
      </w:pPr>
    </w:p>
    <w:p w14:paraId="316A328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Stosowanie zaawansowanego systemu kontroli będzie polegać na użyciu automatycznego systemu komputerowego do kontroli sprawności spalania oraz zapobiegania emisjom i/lub ograniczania emisji.</w:t>
      </w:r>
    </w:p>
    <w:p w14:paraId="5221F2EF"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B719F0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nowych kotłach będzie prowadzone optymalne spalanie gazu ziemnego w celu ograniczenia emisji tlenku węgla.</w:t>
      </w:r>
    </w:p>
    <w:p w14:paraId="50EDBD9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B8EDD4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Jak wskazano w uzupełnieniu, dzięki zastosowaniu szeregu rozwiązań instalacja spełni dotrzymanie poziomów emisji, określonych w konkluzjach BAT dla dużych obiektów energetycznego spalania, wynoszących dla kotłów opalanych paliwem gazowym:</w:t>
      </w:r>
    </w:p>
    <w:p w14:paraId="42CB2EE7" w14:textId="77777777" w:rsidR="003D5B90" w:rsidRPr="008B55C6" w:rsidRDefault="003D5B90" w:rsidP="00177F94">
      <w:pPr>
        <w:pStyle w:val="Akapitzlist"/>
        <w:numPr>
          <w:ilvl w:val="0"/>
          <w:numId w:val="2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NOX: 60 mg/Nm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xml:space="preserve"> (średnia roczna),</w:t>
      </w:r>
    </w:p>
    <w:p w14:paraId="07D32C69" w14:textId="77777777" w:rsidR="003D5B90" w:rsidRPr="008B55C6" w:rsidRDefault="003D5B90" w:rsidP="00177F94">
      <w:pPr>
        <w:pStyle w:val="Akapitzlist"/>
        <w:numPr>
          <w:ilvl w:val="0"/>
          <w:numId w:val="2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NOX: 85 mg/Nm</w:t>
      </w:r>
      <w:r w:rsidRPr="008B55C6">
        <w:rPr>
          <w:rFonts w:ascii="Arial" w:eastAsiaTheme="minorHAnsi" w:hAnsi="Arial" w:cs="Arial"/>
          <w:color w:val="000000"/>
          <w:vertAlign w:val="superscript"/>
          <w:lang w:eastAsia="en-US"/>
        </w:rPr>
        <w:t xml:space="preserve">3 </w:t>
      </w:r>
      <w:r w:rsidRPr="008B55C6">
        <w:rPr>
          <w:rFonts w:ascii="Arial" w:eastAsiaTheme="minorHAnsi" w:hAnsi="Arial" w:cs="Arial"/>
          <w:color w:val="000000"/>
          <w:lang w:eastAsia="en-US"/>
        </w:rPr>
        <w:t>(średnia dobowa),</w:t>
      </w:r>
    </w:p>
    <w:p w14:paraId="4B5B7F7A" w14:textId="77777777" w:rsidR="003D5B90" w:rsidRPr="008B55C6" w:rsidRDefault="003D5B90" w:rsidP="00177F94">
      <w:pPr>
        <w:pStyle w:val="Akapitzlist"/>
        <w:numPr>
          <w:ilvl w:val="0"/>
          <w:numId w:val="22"/>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CO:15 mg/Nm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xml:space="preserve"> (wskaźnik średnioroczny), przy czym możliwe będzie określenie emisji tlenku węgla na innym poziomie wynikającym ze specyfikacji technicznej kotłów na etapie uzyskiwania zmiany pozwolenia zintegrowanego. </w:t>
      </w:r>
    </w:p>
    <w:p w14:paraId="1036422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C950CB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Dla przedmiotowych kotłów będzie prowadzony monitoring przepływu gazów odlotowych, zawartości tlenu, temperatury i ciśnienia, a także ciągły monitoring emisji NOX, oraz CO.</w:t>
      </w:r>
    </w:p>
    <w:p w14:paraId="4D16937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623154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dokumentacji wykonano analizy rozprzestrzeniania substancji w powietrzu z planowanej inwestycji oraz z Instalacji spalania paliw – Elektrociepłowni, po planowanej rozbudowie. Przedstawiono wyniki obliczeń rozprzestrzeniania w powietrzu substancji emitowanych z planowanego przedsięwzięcia, </w:t>
      </w:r>
      <w:r w:rsidRPr="008B55C6">
        <w:rPr>
          <w:rFonts w:ascii="Arial" w:eastAsiaTheme="minorHAnsi" w:hAnsi="Arial" w:cs="Arial"/>
          <w:color w:val="000000"/>
          <w:lang w:eastAsia="en-US"/>
        </w:rPr>
        <w:br/>
      </w:r>
      <w:r w:rsidRPr="008B55C6">
        <w:rPr>
          <w:rFonts w:ascii="Arial" w:eastAsiaTheme="minorHAnsi" w:hAnsi="Arial" w:cs="Arial"/>
          <w:color w:val="000000"/>
          <w:lang w:eastAsia="en-US"/>
        </w:rPr>
        <w:lastRenderedPageBreak/>
        <w:t>z uwzględnieniem źródeł emisji funkcjonujących w ramach Obszarów ANWIL S.A. oraz źródeł planowanych do uruchomiania.</w:t>
      </w:r>
    </w:p>
    <w:p w14:paraId="3AF49D6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547A3C7" w14:textId="09554525"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Przedłożone wyniki wskazują, że emisja substancji do powietrza po realizacji planowanej inwestycji (z uwzględnieniem emisji z Obszarów ANWIL S.A. – istniejących i planowanych do włączenia do eksploatacji) spełnia kryteria jakości powietrza atmosferycznego wobec stężeń jednogodzinnych:</w:t>
      </w:r>
    </w:p>
    <w:p w14:paraId="3862F2F1" w14:textId="77777777" w:rsidR="003D5B90" w:rsidRPr="008B55C6" w:rsidRDefault="003D5B90" w:rsidP="00177F94">
      <w:pPr>
        <w:pStyle w:val="Akapitzlist"/>
        <w:numPr>
          <w:ilvl w:val="0"/>
          <w:numId w:val="23"/>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wokół terenu, do którego ANWIL S.A. posiada tytuł prawny,</w:t>
      </w:r>
    </w:p>
    <w:p w14:paraId="470EE5BC" w14:textId="77777777" w:rsidR="003D5B90" w:rsidRPr="008B55C6" w:rsidRDefault="003D5B90" w:rsidP="00177F94">
      <w:pPr>
        <w:pStyle w:val="Akapitzlist"/>
        <w:numPr>
          <w:ilvl w:val="0"/>
          <w:numId w:val="23"/>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miejscach zabudowy mieszkaniowej oraz biurowej wyższej niż parterowa,</w:t>
      </w:r>
    </w:p>
    <w:p w14:paraId="21904380" w14:textId="77777777" w:rsidR="003D5B90" w:rsidRPr="008B55C6" w:rsidRDefault="003D5B90" w:rsidP="00177F94">
      <w:pPr>
        <w:pStyle w:val="Akapitzlist"/>
        <w:numPr>
          <w:ilvl w:val="0"/>
          <w:numId w:val="23"/>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na terenie uzdrowisk: Wieniec Zdrój oraz Ciechocinek.</w:t>
      </w:r>
    </w:p>
    <w:p w14:paraId="367A560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E43EE51"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Uzyskane w ramach obliczeń najwyższe stężenia średnie w punktach zabudowy wyższej niż parterowa mieszkaniowej oraz biurowej, nie przekraczają wartości odniesienia uśrednionych dla roku oraz wartości dyspozycyjnych. Emisja z planowanych źródeł (z uwzględnieniem emisji z pozostałych Obszarów ANWIL S.A.) spełnia również kryteria jakości powietrza wobec stężeń średniorocznych zaostrzonych na terenach uzdrowisk.</w:t>
      </w:r>
    </w:p>
    <w:p w14:paraId="5F1A58B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0CB372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Najwyższe stężenia średnie wokół terenu, do którego ANWIL S.A. posiada tytuł prawny, wywołane oddziaływaniem nowych źródeł emisji, w przypadku dwutlenku azotu, dwutlenku siarki, tlenku węgla oraz pyłu PM10, nie przekraczają wartości dyspozycyjnej.</w:t>
      </w:r>
    </w:p>
    <w:p w14:paraId="5F0FD3F8" w14:textId="77777777" w:rsidR="003D5B90" w:rsidRPr="008B55C6" w:rsidRDefault="003D5B90" w:rsidP="00177F94">
      <w:pPr>
        <w:autoSpaceDE w:val="0"/>
        <w:autoSpaceDN w:val="0"/>
        <w:adjustRightInd w:val="0"/>
        <w:spacing w:line="360" w:lineRule="auto"/>
        <w:rPr>
          <w:rFonts w:ascii="Arial" w:eastAsiaTheme="minorHAnsi" w:hAnsi="Arial" w:cs="Arial"/>
          <w:color w:val="00000A"/>
          <w:lang w:eastAsia="en-US"/>
        </w:rPr>
      </w:pPr>
    </w:p>
    <w:p w14:paraId="2962F497" w14:textId="67958B4D"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przypadku pyłu zawieszonego PM2,5 tło zanieczyszczenia powietrza przekracza wartość 20 </w:t>
      </w:r>
      <w:proofErr w:type="spellStart"/>
      <w:r w:rsidRPr="008B55C6">
        <w:rPr>
          <w:rFonts w:ascii="Arial" w:eastAsiaTheme="minorHAnsi" w:hAnsi="Arial" w:cs="Arial"/>
          <w:color w:val="000000"/>
          <w:lang w:eastAsia="en-US"/>
        </w:rPr>
        <w:t>μg</w:t>
      </w:r>
      <w:proofErr w:type="spellEnd"/>
      <w:r w:rsidRPr="008B55C6">
        <w:rPr>
          <w:rFonts w:ascii="Arial" w:eastAsiaTheme="minorHAnsi" w:hAnsi="Arial" w:cs="Arial"/>
          <w:color w:val="000000"/>
          <w:lang w:eastAsia="en-US"/>
        </w:rPr>
        <w:t>/m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xml:space="preserve">. Dla Obszaru Przemysłowego ANWIL S.A., Główny Inspektorat Ochrony Środowiska określił tło zanieczyszczenia powietrza pyłem zawieszonym PM2,5 na poziomie 21 </w:t>
      </w:r>
      <w:proofErr w:type="spellStart"/>
      <w:r w:rsidRPr="008B55C6">
        <w:rPr>
          <w:rFonts w:ascii="Arial" w:eastAsiaTheme="minorHAnsi" w:hAnsi="Arial" w:cs="Arial"/>
          <w:color w:val="000000"/>
          <w:lang w:eastAsia="en-US"/>
        </w:rPr>
        <w:t>μg</w:t>
      </w:r>
      <w:proofErr w:type="spellEnd"/>
      <w:r w:rsidRPr="008B55C6">
        <w:rPr>
          <w:rFonts w:ascii="Arial" w:eastAsiaTheme="minorHAnsi" w:hAnsi="Arial" w:cs="Arial"/>
          <w:color w:val="000000"/>
          <w:lang w:eastAsia="en-US"/>
        </w:rPr>
        <w:t>/m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xml:space="preserve">. Wartość ta przekracza dopuszczalny poziom substancji w powietrzu. Zgodnie z informacją przekazaną przez GIOŚ obszar ANWIL S.A. nie jest obejmowany przez żadną stację pomiarową, z której wyniki byłyby reprezentatywne, do określenia tła. W tym przypadku do określenia tła zanieczyszczenia powietrza stosuje się wyniki modelowania wykonanego przez Instytut Ochrony Środowiska – Państwowy Instytut Badawczy dla potrzeb rocznej oceny jakości powietrza lub wyniki szacowania wykonanego w oparciu o wyniki tego modelowania. Dla porównania, stężenie średnioroczne na poziomie 19 </w:t>
      </w:r>
      <w:proofErr w:type="spellStart"/>
      <w:r w:rsidRPr="008B55C6">
        <w:rPr>
          <w:rFonts w:ascii="Arial" w:eastAsiaTheme="minorHAnsi" w:hAnsi="Arial" w:cs="Arial"/>
          <w:color w:val="000000"/>
          <w:lang w:eastAsia="en-US"/>
        </w:rPr>
        <w:t>μg</w:t>
      </w:r>
      <w:proofErr w:type="spellEnd"/>
      <w:r w:rsidRPr="008B55C6">
        <w:rPr>
          <w:rFonts w:ascii="Arial" w:eastAsiaTheme="minorHAnsi" w:hAnsi="Arial" w:cs="Arial"/>
          <w:color w:val="000000"/>
          <w:lang w:eastAsia="en-US"/>
        </w:rPr>
        <w:t>/m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xml:space="preserve"> w roku </w:t>
      </w:r>
      <w:r w:rsidRPr="008B55C6">
        <w:rPr>
          <w:rFonts w:ascii="Arial" w:eastAsiaTheme="minorHAnsi" w:hAnsi="Arial" w:cs="Arial"/>
          <w:color w:val="000000"/>
          <w:lang w:eastAsia="en-US"/>
        </w:rPr>
        <w:lastRenderedPageBreak/>
        <w:t xml:space="preserve">2022 wskazała stacja pomiarowa we Włocławku zlokalizowana przy ulicy Okrzei. Jest to stacja pomiarowa zlokalizowana w centrum miasta, rejestrująca zanieczyszczenia pochodzące z transportu drogowego. Oznacza to, iż bliskość drogi krajowej w okolicach ANWIL S.A. może mieć wpływ na wysokie stężenie pyłu PM2,5 </w:t>
      </w:r>
      <w:r w:rsidRPr="008B55C6">
        <w:rPr>
          <w:rFonts w:ascii="Arial" w:eastAsiaTheme="minorHAnsi" w:hAnsi="Arial" w:cs="Arial"/>
          <w:color w:val="000000"/>
          <w:lang w:eastAsia="en-US"/>
        </w:rPr>
        <w:br/>
        <w:t xml:space="preserve">w okolicy Zakładu. Dodatkowo w „Rocznej ocenie jakości powietrza w województwie kujawsko-pomorskim” za rok 2022, GIOŚ wskazał, iż w sezonie zimowym, w miarę obniżania temperatury powietrza, stężenia pyłu wzrastają, co wskazuje na istotny wpływ emisji pochodzenia energetycznego na stan jakości powietrza. Odnotowane na stacjach pomiarowych stężenia średnie z sezonu </w:t>
      </w:r>
      <w:proofErr w:type="spellStart"/>
      <w:r w:rsidRPr="008B55C6">
        <w:rPr>
          <w:rFonts w:ascii="Arial" w:eastAsiaTheme="minorHAnsi" w:hAnsi="Arial" w:cs="Arial"/>
          <w:color w:val="000000"/>
          <w:lang w:eastAsia="en-US"/>
        </w:rPr>
        <w:t>zimowegobyły</w:t>
      </w:r>
      <w:proofErr w:type="spellEnd"/>
      <w:r w:rsidRPr="008B55C6">
        <w:rPr>
          <w:rFonts w:ascii="Arial" w:eastAsiaTheme="minorHAnsi" w:hAnsi="Arial" w:cs="Arial"/>
          <w:color w:val="000000"/>
          <w:lang w:eastAsia="en-US"/>
        </w:rPr>
        <w:t xml:space="preserve"> w 2022 r. dwukrotnie wyższe niż średnie z sezonu letniego. W raporcie rocznym przedstawiono również informację, iż przeprowadzona ocena jakości powietrza wykazała dotrzymanie w 2022 r. poziomu dopuszczalnego pyłu zawieszonego PM2,5 (20 </w:t>
      </w:r>
      <w:proofErr w:type="spellStart"/>
      <w:r w:rsidRPr="008B55C6">
        <w:rPr>
          <w:rFonts w:ascii="Arial" w:eastAsiaTheme="minorHAnsi" w:hAnsi="Arial" w:cs="Arial"/>
          <w:color w:val="000000"/>
          <w:lang w:eastAsia="en-US"/>
        </w:rPr>
        <w:t>μg</w:t>
      </w:r>
      <w:proofErr w:type="spellEnd"/>
      <w:r w:rsidRPr="008B55C6">
        <w:rPr>
          <w:rFonts w:ascii="Arial" w:eastAsiaTheme="minorHAnsi" w:hAnsi="Arial" w:cs="Arial"/>
          <w:color w:val="000000"/>
          <w:lang w:eastAsia="en-US"/>
        </w:rPr>
        <w:t>/m</w:t>
      </w:r>
      <w:r w:rsidRPr="008B55C6">
        <w:rPr>
          <w:rFonts w:ascii="Arial" w:eastAsiaTheme="minorHAnsi" w:hAnsi="Arial" w:cs="Arial"/>
          <w:color w:val="000000"/>
          <w:vertAlign w:val="superscript"/>
          <w:lang w:eastAsia="en-US"/>
        </w:rPr>
        <w:t>3</w:t>
      </w:r>
      <w:r w:rsidRPr="008B55C6">
        <w:rPr>
          <w:rFonts w:ascii="Arial" w:eastAsiaTheme="minorHAnsi" w:hAnsi="Arial" w:cs="Arial"/>
          <w:color w:val="000000"/>
          <w:lang w:eastAsia="en-US"/>
        </w:rPr>
        <w:t>), a w porównaniu z oceną roczną jakości powietrza za rok 2021, w obecnej ocenie za rok 2022 nastąpiła poprawa klasy strefy w przypadku pyłu zawieszonego PM2,5 (zmiana z klasy C1 na A1) dla miasta Włocławek.</w:t>
      </w:r>
    </w:p>
    <w:p w14:paraId="544E162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2B4B31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Wyniki modelowania wskazują, iż sama inwestycja nie będzie powodować pogorszenia standardów jakości środowiska, gdyż jak wskazują wyniki obliczeń, wielkość oddziaływania jest pomijalnie mała. Modelowanie zostało oparte na założeniu, że pył PM2,5 stanowi 100% pyłu ogółem. Jest to najgorszy dla środowiska wariant obliczeniowy. Jednak prawdopodobieństwo, iż 100% pyłu wprowadzanego </w:t>
      </w:r>
      <w:r w:rsidRPr="008B55C6">
        <w:rPr>
          <w:rFonts w:ascii="Arial" w:eastAsiaTheme="minorHAnsi" w:hAnsi="Arial" w:cs="Arial"/>
          <w:color w:val="000000"/>
          <w:lang w:eastAsia="en-US"/>
        </w:rPr>
        <w:br/>
        <w:t>do powietrza, będzie stanowić pył PM2,5 jest znikome.</w:t>
      </w:r>
    </w:p>
    <w:p w14:paraId="7946E91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0692DF6" w14:textId="06946B44"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ANWIL S.A. prowadzi politykę środowiskową, w związku z czym, tam gdzie jest to możliwe dąży do minimalizacji oddziaływania na środowisko. Ze względu na pogarszający się w ostatnich latach stan zanieczyszczenia powietrza pyłem, spowodowany głównie transportem oraz działalnością bytowo - gospodarczą jak opisano w Krajowym Programie Ochrony Powietrza do roku 2020 (z perspektywą </w:t>
      </w:r>
      <w:r w:rsidRPr="008B55C6">
        <w:rPr>
          <w:rFonts w:ascii="Arial" w:eastAsiaTheme="minorHAnsi" w:hAnsi="Arial" w:cs="Arial"/>
          <w:color w:val="000000"/>
          <w:lang w:eastAsia="en-US"/>
        </w:rPr>
        <w:br/>
        <w:t>do roku 2030), podjęto działania prewencyjne skutkujące ograniczeniem wielkości emisji pyłu PM2,5 i zmniejszeniem oddziaływania Zakładu na jakość powietrza atmosferycznego. Przykładem podejścia pro środowiskowego realizowanego przez ANWIL S.A. jest rezygnacja ze spalania ciężkiego oleju opałowego.</w:t>
      </w:r>
    </w:p>
    <w:p w14:paraId="4E15141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9B10C34" w14:textId="6D756E58"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lastRenderedPageBreak/>
        <w:t>Jednocześnie w ramach uzupełnienia wskazano, że ANWIL S.A. przy składaniu wniosku o wydanie zmiany pozwolenia zintegrowanego dla instalacji spalania paliw – Elektrociepłowni rozważy zapisy art. 225 ustawy z dnia 27 kwietnia 2001 r. Prawo ochrony środowiska (Dz. U. z 2024 r., poz. 54 t.j.). W przypadku wystąpienia tła zanieczyszczenia powietrza przekraczającego dopuszczalny poziom substancji w powietrzu, jeśli będzie to konieczne, wskaże stosowne działania kompensacyjne opisane w przepisach, aby możliwe było eksploatowanie nowych źródeł.</w:t>
      </w:r>
    </w:p>
    <w:p w14:paraId="382DE9C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46F3F2E"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Podczas wykonywania robót inwestycyjnych powstaną głównie odpady budowlane. Będą one gromadzone w wyznaczonych miejscach, a następnie przekazywane firmom posiadającym odpowiednie pozwolenia na ich odzysk lub unieszkodliwienie. Wykonawca robót jest zobowiązany do prowadzenia prawidłowej gospodarki z powstającymi odpadami zgodnie z ustawą z dnia 14 grudnia 2012 r. o odpadach (Dz. U. z 2023 r., poz. 1587 ze zm.) oraz szczegółowymi aktami wykonawczymi.</w:t>
      </w:r>
    </w:p>
    <w:p w14:paraId="4AD79C2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C8E793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Eksploatacja planowanego przedsięwzięcia, przy zachowaniu dotychczasowej technologii, związana będzie ze zwiększeniem niektórych ilości wytwarzanych odpadów związanych z:</w:t>
      </w:r>
    </w:p>
    <w:p w14:paraId="10CCB575" w14:textId="77777777" w:rsidR="003D5B90" w:rsidRPr="008B55C6" w:rsidRDefault="003D5B90" w:rsidP="00177F94">
      <w:pPr>
        <w:pStyle w:val="Akapitzlist"/>
        <w:numPr>
          <w:ilvl w:val="0"/>
          <w:numId w:val="2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eksploatacją instalacji (odpady produkcyjne),</w:t>
      </w:r>
    </w:p>
    <w:p w14:paraId="1859FCC2" w14:textId="77777777" w:rsidR="003D5B90" w:rsidRPr="008B55C6" w:rsidRDefault="003D5B90" w:rsidP="00177F94">
      <w:pPr>
        <w:pStyle w:val="Akapitzlist"/>
        <w:numPr>
          <w:ilvl w:val="0"/>
          <w:numId w:val="2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utrzymaniem instalacji w odpowiednim stanie technicznym (np. naprawy, przeglądy, konserwacje),</w:t>
      </w:r>
    </w:p>
    <w:p w14:paraId="4F425B3E" w14:textId="77777777" w:rsidR="003D5B90" w:rsidRPr="008B55C6" w:rsidRDefault="003D5B90" w:rsidP="00177F94">
      <w:pPr>
        <w:pStyle w:val="Akapitzlist"/>
        <w:numPr>
          <w:ilvl w:val="0"/>
          <w:numId w:val="24"/>
        </w:num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w niewielkim stopniu prowadzoną działalnością </w:t>
      </w:r>
      <w:proofErr w:type="spellStart"/>
      <w:r w:rsidRPr="008B55C6">
        <w:rPr>
          <w:rFonts w:ascii="Arial" w:eastAsiaTheme="minorHAnsi" w:hAnsi="Arial" w:cs="Arial"/>
          <w:color w:val="000000"/>
          <w:lang w:eastAsia="en-US"/>
        </w:rPr>
        <w:t>administracyjno</w:t>
      </w:r>
      <w:proofErr w:type="spellEnd"/>
      <w:r w:rsidRPr="008B55C6">
        <w:rPr>
          <w:rFonts w:ascii="Arial" w:eastAsiaTheme="minorHAnsi" w:hAnsi="Arial" w:cs="Arial"/>
          <w:color w:val="000000"/>
          <w:lang w:eastAsia="en-US"/>
        </w:rPr>
        <w:t xml:space="preserve"> – biurową.</w:t>
      </w:r>
    </w:p>
    <w:p w14:paraId="3FB33F47"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A8F53E5" w14:textId="4D1707C0"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Sposób postępowania z wytwarzanymi odpadami będzie tożsamy z wytycznymi zawartymi w aktualnie obowiązującym pozwoleniu zintegrowanym, a także zgodny z obowiązującymi w tym zakresie przepisami prawa. Odpady są magazynowane w sposób selektywny w odpowiednio oznakowanych miejscach w sposób zapobiegający rozprzestrzenianiu się odpadów poza przeznaczone do tego celu miejsce, a w przypadku odpadów niebezpiecznych miejsca te są zabezpieczone przed wpływem czynników atmosferycznych (np. wiaty, zadaszone boksy, wydzielone pomieszczenia lub teren w halach produkcyjnych, budynkach administracyjnych itp., zabezpieczone przed dostępem osób nieupoważnionych). Miejsce magazynowania posiadać będzie utwardzone z użyciem wyrobów </w:t>
      </w:r>
      <w:r w:rsidRPr="008B55C6">
        <w:rPr>
          <w:rFonts w:ascii="Arial" w:eastAsiaTheme="minorHAnsi" w:hAnsi="Arial" w:cs="Arial"/>
          <w:color w:val="000000"/>
          <w:lang w:eastAsia="en-US"/>
        </w:rPr>
        <w:lastRenderedPageBreak/>
        <w:t>budowlanych, szczelne podłoże zabezpieczające środowisko gruntowo-wodne przed zanieczyszczeniem, a także niezbędne wyposażenie techniczne.</w:t>
      </w:r>
    </w:p>
    <w:p w14:paraId="47924E82" w14:textId="77777777" w:rsidR="003D5B90" w:rsidRPr="008B55C6" w:rsidRDefault="003D5B90" w:rsidP="00177F94">
      <w:pPr>
        <w:autoSpaceDE w:val="0"/>
        <w:autoSpaceDN w:val="0"/>
        <w:adjustRightInd w:val="0"/>
        <w:spacing w:line="360" w:lineRule="auto"/>
        <w:rPr>
          <w:rFonts w:ascii="Arial" w:eastAsiaTheme="minorHAnsi" w:hAnsi="Arial" w:cs="Arial"/>
          <w:color w:val="00000A"/>
          <w:lang w:eastAsia="en-US"/>
        </w:rPr>
      </w:pPr>
    </w:p>
    <w:p w14:paraId="52DAB4A8" w14:textId="675AF1AE"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Na terenie planowanej inwestycji prowadzona będzie selektywna zbiórka wytwarzanych odpadów. Odpady przekazane zostaną odbiorcom posiadającym stosowne zezwolenia z zakresu gospodarowania odpadami. Transport odpadów odbywać się będzie środkami transportu firmy zewnętrznej z zachowaniem przepisów ustawy o odpadach oraz obowiązujących przy transporcie towarów sklasyfikowanych jako niebezpieczne</w:t>
      </w:r>
      <w:r w:rsidR="004B401A" w:rsidRPr="008B55C6">
        <w:rPr>
          <w:rFonts w:ascii="Arial" w:eastAsiaTheme="minorHAnsi" w:hAnsi="Arial" w:cs="Arial"/>
          <w:color w:val="000000"/>
          <w:lang w:eastAsia="en-US"/>
        </w:rPr>
        <w:t>.</w:t>
      </w:r>
    </w:p>
    <w:p w14:paraId="2B516C4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DB45C3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Planowane przedsięwzięcie zostanie zlokalizowane poza obszarami chronionymi w myśl ustawy z dnia 16 kwietnia 2004 r. o ochronie przyrody (Dz. U. z 2023 r. poz. 1336 ze zm.), w tym poza wyznaczonymi, mającymi znaczenie dla Wspólnoty i projektowanymi przekazanymi do Komisji Europejskiej obszarami Natura 2000.</w:t>
      </w:r>
    </w:p>
    <w:p w14:paraId="3B42F4E3"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2B97DD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Inwestycja zostanie realizowana na terenie funkcjonujących zakładów ANWIL S.A., w bezpośrednim sąsiedztwie istniejących budynków oraz w ich obrębie.</w:t>
      </w:r>
    </w:p>
    <w:p w14:paraId="711C43C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460A0A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Celem wyeliminowania ryzyka zabijania małych zwierząt wskazano na konieczność kontrolowania wykopów każdorazowo przed podjęciem prac w ich obrębie.</w:t>
      </w:r>
    </w:p>
    <w:p w14:paraId="6A00EB0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4045781C"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Ponadto realizacja zamierzenia przy przyjętym rozwiązaniu lokalizacji nie wymaga naruszania cennych siedlisk przyrodniczych i ich przekształcania, zajęcia siedlisk wrażliwych, rozbiórki obiektów kubaturowych, wycinki drzew i krzewów.</w:t>
      </w:r>
    </w:p>
    <w:p w14:paraId="441D9AB8"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EC568CC" w14:textId="5C4CED02"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Na podstawie przeprowadzonej analizy przedłożonej dokumentacji, w tym Kip 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14:paraId="36523FCA"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0C65EE85"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Jednocześnie informuję, że w przypadku jeśli skutkiem robót budowlanych bądź innych prac związanych z realizacją zamierzenia będzie podjęcie czynności objętych zakazami względem gatunków chronionych zwierząt, wynikającymi z art. 52 ww. </w:t>
      </w:r>
      <w:r w:rsidRPr="008B55C6">
        <w:rPr>
          <w:rFonts w:ascii="Arial" w:eastAsiaTheme="minorHAnsi" w:hAnsi="Arial" w:cs="Arial"/>
          <w:color w:val="000000"/>
          <w:lang w:eastAsia="en-US"/>
        </w:rPr>
        <w:lastRenderedPageBreak/>
        <w:t>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ww. ustawy o ochronie przyrody.</w:t>
      </w:r>
    </w:p>
    <w:p w14:paraId="3D7C186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5CC0976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Analizując wpływ zamierzenia w kontekście pogłębiania zmian klimatu należy stwierdzić, że przedsięwzięcie nie powinno wpływać istotnie na warunki klimatyczne.</w:t>
      </w:r>
    </w:p>
    <w:p w14:paraId="637C6962"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36E3CC30" w14:textId="3EB7735C"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 xml:space="preserve">Analizowane zamierzenie wiązać się będzie z wystąpieniem bezpośrednich emisji gazów cieplarnianych, głównie </w:t>
      </w:r>
      <w:proofErr w:type="spellStart"/>
      <w:r w:rsidRPr="008B55C6">
        <w:rPr>
          <w:rFonts w:ascii="Arial" w:eastAsiaTheme="minorHAnsi" w:hAnsi="Arial" w:cs="Arial"/>
          <w:color w:val="000000"/>
          <w:lang w:eastAsia="en-US"/>
        </w:rPr>
        <w:t>ditlenku</w:t>
      </w:r>
      <w:proofErr w:type="spellEnd"/>
      <w:r w:rsidRPr="008B55C6">
        <w:rPr>
          <w:rFonts w:ascii="Arial" w:eastAsiaTheme="minorHAnsi" w:hAnsi="Arial" w:cs="Arial"/>
          <w:color w:val="000000"/>
          <w:lang w:eastAsia="en-US"/>
        </w:rPr>
        <w:t xml:space="preserve"> węgla. Skala emisji powoduje, że oddziaływanie inwestycji na klimat można określić jako niskie, a więc nie będzie ono znacząco przyczyniać się do pogłębienia zmian klimatu. W analizowanym przedsięwzięciu wykorzystano technologie spełniające wymagania najlepszych dostępnych technik.</w:t>
      </w:r>
      <w:r w:rsidR="00177F94" w:rsidRPr="008B55C6">
        <w:rPr>
          <w:rFonts w:ascii="Arial" w:eastAsiaTheme="minorHAnsi" w:hAnsi="Arial" w:cs="Arial"/>
          <w:color w:val="000000"/>
          <w:lang w:eastAsia="en-US"/>
        </w:rPr>
        <w:t xml:space="preserve"> </w:t>
      </w:r>
      <w:r w:rsidRPr="008B55C6">
        <w:rPr>
          <w:rFonts w:ascii="Arial" w:eastAsiaTheme="minorHAnsi" w:hAnsi="Arial" w:cs="Arial"/>
          <w:color w:val="000000"/>
          <w:lang w:eastAsia="en-US"/>
        </w:rPr>
        <w:t>Ponadto, zdecydowano się na wykorzystanie gazu ziemnego charakteryzującego się wysoką wartością opałową, a w konsekwencji niskim wskaźnikiem emisyjności CO</w:t>
      </w:r>
      <w:r w:rsidRPr="008B55C6">
        <w:rPr>
          <w:rFonts w:ascii="Arial" w:eastAsiaTheme="minorHAnsi" w:hAnsi="Arial" w:cs="Arial"/>
          <w:color w:val="000000"/>
          <w:vertAlign w:val="subscript"/>
          <w:lang w:eastAsia="en-US"/>
        </w:rPr>
        <w:t>2</w:t>
      </w:r>
      <w:r w:rsidRPr="008B55C6">
        <w:rPr>
          <w:rFonts w:ascii="Arial" w:eastAsiaTheme="minorHAnsi" w:hAnsi="Arial" w:cs="Arial"/>
          <w:color w:val="000000"/>
          <w:lang w:eastAsia="en-US"/>
        </w:rPr>
        <w:t>.</w:t>
      </w:r>
    </w:p>
    <w:p w14:paraId="5C1D2361"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64E32730"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Przedsięwzięcie będzie wiązać się także z wystąpieniem pośrednich emisji gazów cieplarnianych wynikających z ruchu pojazdów po terenie Zakładu. W Kip prognozuje się, że z uwagi na stosunkowo niewielką długość dróg wewnętrznych, transport towarzyszący nie doprowadzi do wystąpienia znacznych, dodatkowych pośrednich emisji gazów cieplarnianych.</w:t>
      </w:r>
    </w:p>
    <w:p w14:paraId="79634C4D"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71732D71" w14:textId="7C7306BC"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Zamierzenie położone jest na terenie obszaru przemysłowego ANWIL S.A. we Włocławku. W obrębie zakładu zlokalizowana jest znaczna liczba instalacji</w:t>
      </w:r>
      <w:r w:rsidR="004B401A" w:rsidRPr="008B55C6">
        <w:rPr>
          <w:rFonts w:ascii="Arial" w:eastAsiaTheme="minorHAnsi" w:hAnsi="Arial" w:cs="Arial"/>
          <w:color w:val="000000"/>
          <w:lang w:eastAsia="en-US"/>
        </w:rPr>
        <w:t xml:space="preserve"> </w:t>
      </w:r>
      <w:r w:rsidRPr="008B55C6">
        <w:rPr>
          <w:rFonts w:ascii="Arial" w:eastAsiaTheme="minorHAnsi" w:hAnsi="Arial" w:cs="Arial"/>
          <w:color w:val="000000"/>
          <w:lang w:eastAsia="en-US"/>
        </w:rPr>
        <w:t>współtworząca cały obszar Zakładu.</w:t>
      </w:r>
    </w:p>
    <w:p w14:paraId="6AA33179"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p w14:paraId="11ADDEAE" w14:textId="63D66463"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r w:rsidRPr="008B55C6">
        <w:rPr>
          <w:rFonts w:ascii="Arial" w:eastAsiaTheme="minorHAnsi" w:hAnsi="Arial" w:cs="Arial"/>
          <w:color w:val="000000"/>
          <w:lang w:eastAsia="en-US"/>
        </w:rPr>
        <w:t>W obszarze oddziaływania przedsięwzięcia obecnie są realizowane inne inwestycje mogące prowadzić do skumulowania oddziaływań na środowisko. W Kip odniesiono się do skumulowanych oddziaływań w zakresie emisji do powietrza i emisji hałasu. Przeprowadzona analiza skumulowanego oddziaływania wykazała, iż zostanie zapewnione dotrzymanie standardów jakości środowiska (na granicy terenu własności oraz na obszarach poddanych ochronie akustycznej).</w:t>
      </w:r>
    </w:p>
    <w:p w14:paraId="56446604" w14:textId="77777777" w:rsidR="003D5B90" w:rsidRPr="008B55C6" w:rsidRDefault="003D5B90" w:rsidP="00177F94">
      <w:pPr>
        <w:autoSpaceDE w:val="0"/>
        <w:autoSpaceDN w:val="0"/>
        <w:adjustRightInd w:val="0"/>
        <w:spacing w:line="360" w:lineRule="auto"/>
        <w:rPr>
          <w:rFonts w:ascii="Arial" w:eastAsiaTheme="minorHAnsi" w:hAnsi="Arial" w:cs="Arial"/>
          <w:color w:val="000000"/>
          <w:lang w:eastAsia="en-US"/>
        </w:rPr>
      </w:pPr>
    </w:p>
    <w:bookmarkEnd w:id="1"/>
    <w:p w14:paraId="190A991F" w14:textId="77777777" w:rsidR="003D5B90" w:rsidRPr="008B55C6" w:rsidRDefault="003D5B90" w:rsidP="00177F94">
      <w:pPr>
        <w:autoSpaceDE w:val="0"/>
        <w:autoSpaceDN w:val="0"/>
        <w:adjustRightInd w:val="0"/>
        <w:spacing w:line="360" w:lineRule="auto"/>
        <w:rPr>
          <w:rFonts w:ascii="Arial" w:eastAsiaTheme="minorHAnsi" w:hAnsi="Arial" w:cs="Arial"/>
          <w:lang w:eastAsia="en-US"/>
        </w:rPr>
      </w:pPr>
      <w:r w:rsidRPr="008B55C6">
        <w:rPr>
          <w:rFonts w:ascii="Arial" w:eastAsiaTheme="minorHAnsi" w:hAnsi="Arial" w:cs="Arial"/>
          <w:lang w:eastAsia="en-US"/>
        </w:rPr>
        <w:t>Reasumując uznano, iż zastosowanie zaproponowanych w przedłożonej Kip oraz jej uzupełnieniu rozwiązań technicznych i organizacyjnych, zapewni ochronę środowiska na etapie realizacji i eksploatacji przedsięwzięcia.</w:t>
      </w:r>
    </w:p>
    <w:p w14:paraId="46A102CB" w14:textId="77777777" w:rsidR="003D5B90" w:rsidRPr="008B55C6" w:rsidRDefault="003D5B90" w:rsidP="00177F94">
      <w:pPr>
        <w:autoSpaceDE w:val="0"/>
        <w:autoSpaceDN w:val="0"/>
        <w:adjustRightInd w:val="0"/>
        <w:spacing w:line="360" w:lineRule="auto"/>
        <w:rPr>
          <w:rFonts w:ascii="Arial" w:eastAsiaTheme="minorHAnsi" w:hAnsi="Arial" w:cs="Arial"/>
          <w:lang w:eastAsia="en-US"/>
        </w:rPr>
      </w:pPr>
    </w:p>
    <w:p w14:paraId="29F4F8FE" w14:textId="6FE3BB5B" w:rsidR="003D5B90" w:rsidRPr="008B55C6" w:rsidRDefault="003D5B90" w:rsidP="00177F94">
      <w:pPr>
        <w:spacing w:line="360" w:lineRule="auto"/>
        <w:rPr>
          <w:rFonts w:ascii="Arial" w:hAnsi="Arial" w:cs="Arial"/>
        </w:rPr>
      </w:pPr>
      <w:r w:rsidRPr="008B55C6">
        <w:rPr>
          <w:rFonts w:ascii="Arial" w:hAnsi="Arial" w:cs="Arial"/>
        </w:rPr>
        <w:t>Mając powyższe na uwadze, jak również wydane opinie Regionalnego Dyrektora Ochrony Środowiska w Bydgoszczy, Państwowego Powiatowego Inspektora Sanitarnego we Włocławku, Marszalka Województwa Kujawsko-Pomorskiego w Toruniu oraz Państwowego Gospodarstwa Wodnego Wody Polskie Regionalny Zarząd Gospodarki Wodnej w Gdańsku,</w:t>
      </w:r>
      <w:r w:rsidR="00177F94" w:rsidRPr="008B55C6">
        <w:rPr>
          <w:rFonts w:ascii="Arial" w:hAnsi="Arial" w:cs="Arial"/>
        </w:rPr>
        <w:t xml:space="preserve"> </w:t>
      </w:r>
      <w:r w:rsidRPr="008B55C6">
        <w:rPr>
          <w:rFonts w:ascii="Arial" w:hAnsi="Arial" w:cs="Arial"/>
        </w:rPr>
        <w:t>tut. organ uznał, że dla realizacji planowanej inwestycji nie zachodzi konieczność przeprowadzenia oceny oddziaływania na środowisko.</w:t>
      </w:r>
    </w:p>
    <w:p w14:paraId="3600FA8C" w14:textId="77777777" w:rsidR="003D5B90" w:rsidRPr="008B55C6" w:rsidRDefault="003D5B90" w:rsidP="00177F94">
      <w:pPr>
        <w:spacing w:line="360" w:lineRule="auto"/>
        <w:rPr>
          <w:rFonts w:ascii="Arial" w:hAnsi="Arial" w:cs="Arial"/>
          <w:color w:val="000000"/>
        </w:rPr>
      </w:pPr>
    </w:p>
    <w:p w14:paraId="5E989144" w14:textId="5BC394D0" w:rsidR="003D5B90" w:rsidRPr="008B55C6" w:rsidRDefault="003D5B90" w:rsidP="00177F94">
      <w:pPr>
        <w:spacing w:line="360" w:lineRule="auto"/>
        <w:rPr>
          <w:rFonts w:ascii="Arial" w:hAnsi="Arial" w:cs="Arial"/>
        </w:rPr>
      </w:pPr>
      <w:r w:rsidRPr="008B55C6">
        <w:rPr>
          <w:rFonts w:ascii="Arial" w:hAnsi="Arial" w:cs="Arial"/>
          <w:color w:val="000000"/>
        </w:rPr>
        <w:t xml:space="preserve">W związku z powyższym, tut. organ analizując uwarunkowania, o których mowa w art. 63 ust. 1 </w:t>
      </w:r>
      <w:r w:rsidRPr="008B55C6">
        <w:rPr>
          <w:rFonts w:ascii="Arial" w:hAnsi="Arial" w:cs="Arial"/>
        </w:rPr>
        <w:t xml:space="preserve">ustawy 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14:paraId="1E09D7B0" w14:textId="77777777" w:rsidR="003D5B90" w:rsidRPr="008B55C6" w:rsidRDefault="003D5B90" w:rsidP="00177F94">
      <w:pPr>
        <w:spacing w:line="360" w:lineRule="auto"/>
        <w:rPr>
          <w:rFonts w:ascii="Arial" w:hAnsi="Arial" w:cs="Arial"/>
        </w:rPr>
      </w:pPr>
    </w:p>
    <w:p w14:paraId="7AA449AF" w14:textId="77777777" w:rsidR="003D5B90" w:rsidRPr="008B55C6" w:rsidRDefault="003D5B90" w:rsidP="00177F94">
      <w:pPr>
        <w:spacing w:line="360" w:lineRule="auto"/>
        <w:rPr>
          <w:rFonts w:ascii="Arial" w:hAnsi="Arial" w:cs="Arial"/>
          <w:b/>
        </w:rPr>
      </w:pPr>
      <w:r w:rsidRPr="008B55C6">
        <w:rPr>
          <w:rFonts w:ascii="Arial" w:hAnsi="Arial" w:cs="Arial"/>
          <w:b/>
        </w:rPr>
        <w:t>Pouczenie</w:t>
      </w:r>
    </w:p>
    <w:p w14:paraId="0BABBB1C" w14:textId="77777777" w:rsidR="003D5B90" w:rsidRPr="008B55C6" w:rsidRDefault="003D5B90" w:rsidP="00177F94">
      <w:pPr>
        <w:spacing w:line="360" w:lineRule="auto"/>
        <w:rPr>
          <w:rFonts w:ascii="Arial" w:hAnsi="Arial" w:cs="Arial"/>
          <w:b/>
        </w:rPr>
      </w:pPr>
    </w:p>
    <w:p w14:paraId="5635D073" w14:textId="7930C4C1" w:rsidR="003D5B90" w:rsidRPr="008B55C6" w:rsidRDefault="003D5B90" w:rsidP="00177F94">
      <w:pPr>
        <w:spacing w:line="360" w:lineRule="auto"/>
        <w:rPr>
          <w:rFonts w:ascii="Arial" w:hAnsi="Arial" w:cs="Arial"/>
        </w:rPr>
      </w:pPr>
      <w:r w:rsidRPr="008B55C6">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698ABD37" w14:textId="77777777" w:rsidR="003D5B90" w:rsidRPr="008B55C6" w:rsidRDefault="003D5B90" w:rsidP="00177F94">
      <w:pPr>
        <w:spacing w:line="360" w:lineRule="auto"/>
        <w:rPr>
          <w:rFonts w:ascii="Arial" w:hAnsi="Arial" w:cs="Arial"/>
        </w:rPr>
      </w:pPr>
      <w:r w:rsidRPr="008B55C6">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0A89E756" w14:textId="77777777" w:rsidR="003D5B90" w:rsidRPr="008B55C6" w:rsidRDefault="003D5B90" w:rsidP="00177F94">
      <w:pPr>
        <w:shd w:val="clear" w:color="auto" w:fill="FFFFFF"/>
        <w:spacing w:line="360" w:lineRule="auto"/>
        <w:rPr>
          <w:rFonts w:ascii="Arial" w:hAnsi="Arial" w:cs="Arial"/>
        </w:rPr>
      </w:pPr>
      <w:r w:rsidRPr="008B55C6">
        <w:rPr>
          <w:rFonts w:ascii="Arial" w:hAnsi="Arial" w:cs="Arial"/>
        </w:rPr>
        <w:t>Decyzja ta nie jest również pozwoleniem na budowę i nie uprawnia do rozpoczęcia robót budowlanych.</w:t>
      </w:r>
    </w:p>
    <w:p w14:paraId="677C877C" w14:textId="77777777" w:rsidR="003D5B90" w:rsidRPr="008B55C6" w:rsidRDefault="003D5B90" w:rsidP="00177F94">
      <w:pPr>
        <w:shd w:val="clear" w:color="auto" w:fill="FFFFFF"/>
        <w:spacing w:line="360" w:lineRule="auto"/>
        <w:rPr>
          <w:rFonts w:ascii="Arial" w:hAnsi="Arial" w:cs="Arial"/>
        </w:rPr>
      </w:pPr>
      <w:r w:rsidRPr="008B55C6">
        <w:rPr>
          <w:rFonts w:ascii="Arial" w:hAnsi="Arial" w:cs="Arial"/>
        </w:rPr>
        <w:t xml:space="preserve">Zgodnie z art. 86 ustawy o udostępnianiu informacji o środowisku i jego ochronie, udziale społeczeństwa w ochronie środowiska oraz o ocenach oddziaływania na </w:t>
      </w:r>
      <w:r w:rsidRPr="008B55C6">
        <w:rPr>
          <w:rFonts w:ascii="Arial" w:hAnsi="Arial" w:cs="Arial"/>
        </w:rPr>
        <w:lastRenderedPageBreak/>
        <w:t>środowisko, niniejsza decyzja wiąże organ wydający decyzje, o których mowa w art. 72 ust. 1 i art. 72 ust. 1a ww. ustawy.</w:t>
      </w:r>
    </w:p>
    <w:p w14:paraId="2F66978F" w14:textId="66F7AEBC" w:rsidR="003D5B90" w:rsidRPr="008B55C6" w:rsidRDefault="003D5B90" w:rsidP="00177F94">
      <w:pPr>
        <w:spacing w:line="360" w:lineRule="auto"/>
        <w:rPr>
          <w:rFonts w:ascii="Arial" w:hAnsi="Arial" w:cs="Arial"/>
        </w:rPr>
      </w:pPr>
      <w:r w:rsidRPr="008B55C6">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0DD117ED" w14:textId="46F74E7E" w:rsidR="003D5B90" w:rsidRPr="008B55C6" w:rsidRDefault="003D5B90" w:rsidP="00177F94">
      <w:pPr>
        <w:pStyle w:val="Tekstpodstawowy"/>
        <w:spacing w:after="0" w:line="360" w:lineRule="auto"/>
        <w:rPr>
          <w:rFonts w:ascii="Arial" w:hAnsi="Arial" w:cs="Arial"/>
        </w:rPr>
      </w:pPr>
      <w:r w:rsidRPr="008B55C6">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8B55C6">
        <w:rPr>
          <w:rFonts w:ascii="Arial" w:hAnsi="Arial" w:cs="Arial"/>
        </w:rPr>
        <w:br/>
        <w:t>i prawomocna.</w:t>
      </w:r>
    </w:p>
    <w:p w14:paraId="298FA3CF" w14:textId="77777777" w:rsidR="003D5B90" w:rsidRPr="008B55C6" w:rsidRDefault="003D5B90" w:rsidP="00177F94">
      <w:pPr>
        <w:tabs>
          <w:tab w:val="left" w:pos="1695"/>
        </w:tabs>
        <w:spacing w:line="360" w:lineRule="auto"/>
        <w:rPr>
          <w:rFonts w:ascii="Arial" w:hAnsi="Arial" w:cs="Arial"/>
        </w:rPr>
      </w:pPr>
    </w:p>
    <w:p w14:paraId="068C0555" w14:textId="689C1D08" w:rsidR="003D5B90" w:rsidRPr="008B55C6" w:rsidRDefault="003D5B90" w:rsidP="00177F94">
      <w:pPr>
        <w:tabs>
          <w:tab w:val="left" w:pos="1695"/>
        </w:tabs>
        <w:spacing w:line="360" w:lineRule="auto"/>
        <w:rPr>
          <w:rFonts w:ascii="Arial" w:hAnsi="Arial" w:cs="Arial"/>
        </w:rPr>
      </w:pPr>
      <w:r w:rsidRPr="008B55C6">
        <w:rPr>
          <w:rFonts w:ascii="Arial" w:hAnsi="Arial" w:cs="Arial"/>
        </w:rPr>
        <w:t>Zgodnie z częścią</w:t>
      </w:r>
      <w:r w:rsidRPr="008B55C6">
        <w:rPr>
          <w:rFonts w:ascii="Arial" w:hAnsi="Arial" w:cs="Arial"/>
          <w:b/>
        </w:rPr>
        <w:t xml:space="preserve"> </w:t>
      </w:r>
      <w:r w:rsidRPr="008B55C6">
        <w:rPr>
          <w:rFonts w:ascii="Arial" w:hAnsi="Arial" w:cs="Arial"/>
        </w:rPr>
        <w:t>I pkt 45 załącznika ustawy z dnia 16 listopada 2006 r. o opłacie skarbowej (Dz. U. z 2023 r., poz. 2111 j.t.) opłatę skarbową za</w:t>
      </w:r>
      <w:r w:rsidR="00177F94" w:rsidRPr="008B55C6">
        <w:rPr>
          <w:rFonts w:ascii="Arial" w:hAnsi="Arial" w:cs="Arial"/>
        </w:rPr>
        <w:t xml:space="preserve"> </w:t>
      </w:r>
      <w:r w:rsidRPr="008B55C6">
        <w:rPr>
          <w:rFonts w:ascii="Arial" w:hAnsi="Arial" w:cs="Arial"/>
        </w:rPr>
        <w:t>wydanie decyzji o środowiskowych uwarunkowaniach</w:t>
      </w:r>
      <w:r w:rsidRPr="008B55C6">
        <w:rPr>
          <w:rFonts w:ascii="Arial" w:hAnsi="Arial" w:cs="Arial"/>
          <w:b/>
        </w:rPr>
        <w:t xml:space="preserve"> </w:t>
      </w:r>
      <w:r w:rsidRPr="008B55C6">
        <w:rPr>
          <w:rFonts w:ascii="Arial" w:hAnsi="Arial" w:cs="Arial"/>
        </w:rPr>
        <w:t xml:space="preserve">uiszczono w dniu 26.01.2024 r. w wysokości </w:t>
      </w:r>
      <w:r w:rsidRPr="008B55C6">
        <w:rPr>
          <w:rFonts w:ascii="Arial" w:hAnsi="Arial" w:cs="Arial"/>
        </w:rPr>
        <w:br/>
        <w:t xml:space="preserve">205 zł. </w:t>
      </w:r>
    </w:p>
    <w:p w14:paraId="44B54C25" w14:textId="77777777" w:rsidR="003D5B90" w:rsidRPr="008B55C6" w:rsidRDefault="003D5B90" w:rsidP="00177F94">
      <w:pPr>
        <w:tabs>
          <w:tab w:val="left" w:pos="1695"/>
        </w:tabs>
        <w:spacing w:line="360" w:lineRule="auto"/>
        <w:rPr>
          <w:rFonts w:ascii="Arial" w:hAnsi="Arial" w:cs="Arial"/>
        </w:rPr>
      </w:pPr>
    </w:p>
    <w:p w14:paraId="7A36FF1B" w14:textId="77777777" w:rsidR="003D5B90" w:rsidRPr="008B55C6" w:rsidRDefault="003D5B90" w:rsidP="00177F94">
      <w:pPr>
        <w:tabs>
          <w:tab w:val="left" w:pos="1695"/>
        </w:tabs>
        <w:spacing w:line="360" w:lineRule="auto"/>
        <w:rPr>
          <w:rFonts w:ascii="Arial" w:hAnsi="Arial" w:cs="Arial"/>
        </w:rPr>
      </w:pPr>
      <w:r w:rsidRPr="008B55C6">
        <w:rPr>
          <w:rFonts w:ascii="Arial" w:hAnsi="Arial" w:cs="Arial"/>
        </w:rPr>
        <w:t xml:space="preserve">Zgodnie z częścią IV załącznika ustawy z dnia 16 listopada 2006 r. o opłacie skarbowej (Dz. U. z 2023 r., poz. 2111 j.t.) opłatę skarbową za złożenie pełnomocnictw uiszczono w dniu 26.01.2024 r. i w dniu 20.03.2024 r. w wysokości: 34 zł. </w:t>
      </w:r>
    </w:p>
    <w:p w14:paraId="2AE59C95" w14:textId="77777777" w:rsidR="003D5B90" w:rsidRPr="008B55C6" w:rsidRDefault="003D5B90" w:rsidP="00177F94">
      <w:pPr>
        <w:tabs>
          <w:tab w:val="left" w:pos="1695"/>
        </w:tabs>
        <w:spacing w:line="360" w:lineRule="auto"/>
        <w:rPr>
          <w:rFonts w:ascii="Arial" w:hAnsi="Arial" w:cs="Arial"/>
          <w:sz w:val="20"/>
          <w:szCs w:val="20"/>
        </w:rPr>
      </w:pPr>
    </w:p>
    <w:p w14:paraId="45B4B7A7" w14:textId="77777777" w:rsidR="003D5B90" w:rsidRPr="008B55C6" w:rsidRDefault="003D5B90" w:rsidP="00177F94">
      <w:pPr>
        <w:tabs>
          <w:tab w:val="left" w:pos="1695"/>
        </w:tabs>
        <w:spacing w:line="360" w:lineRule="auto"/>
        <w:rPr>
          <w:rFonts w:ascii="Arial" w:hAnsi="Arial" w:cs="Arial"/>
          <w:sz w:val="20"/>
          <w:szCs w:val="20"/>
        </w:rPr>
      </w:pPr>
    </w:p>
    <w:p w14:paraId="40F64BFF" w14:textId="32C34692" w:rsidR="003D5B90" w:rsidRPr="008B55C6" w:rsidRDefault="006C1D8C" w:rsidP="00177F94">
      <w:pPr>
        <w:spacing w:line="360" w:lineRule="auto"/>
        <w:rPr>
          <w:rFonts w:ascii="Arial" w:hAnsi="Arial" w:cs="Arial"/>
        </w:rPr>
      </w:pPr>
      <w:r w:rsidRPr="008B55C6">
        <w:rPr>
          <w:rFonts w:ascii="Arial" w:hAnsi="Arial" w:cs="Arial"/>
        </w:rPr>
        <w:t xml:space="preserve">Z up. PREZYDENTA MIASTA </w:t>
      </w:r>
    </w:p>
    <w:p w14:paraId="5D821BC1" w14:textId="4EDD13F9" w:rsidR="006C1D8C" w:rsidRPr="008B55C6" w:rsidRDefault="006C1D8C" w:rsidP="00177F94">
      <w:pPr>
        <w:spacing w:line="360" w:lineRule="auto"/>
        <w:rPr>
          <w:rFonts w:ascii="Arial" w:hAnsi="Arial" w:cs="Arial"/>
        </w:rPr>
      </w:pPr>
      <w:r w:rsidRPr="008B55C6">
        <w:rPr>
          <w:rFonts w:ascii="Arial" w:hAnsi="Arial" w:cs="Arial"/>
        </w:rPr>
        <w:t>Monika Szudzikowska</w:t>
      </w:r>
    </w:p>
    <w:p w14:paraId="2E630EAA" w14:textId="5FC58CD4" w:rsidR="006C1D8C" w:rsidRPr="008B55C6" w:rsidRDefault="006C1D8C" w:rsidP="00177F94">
      <w:pPr>
        <w:spacing w:line="360" w:lineRule="auto"/>
        <w:rPr>
          <w:rFonts w:ascii="Arial" w:hAnsi="Arial" w:cs="Arial"/>
        </w:rPr>
      </w:pPr>
      <w:r w:rsidRPr="008B55C6">
        <w:rPr>
          <w:rFonts w:ascii="Arial" w:hAnsi="Arial" w:cs="Arial"/>
        </w:rPr>
        <w:t>Dyrektor</w:t>
      </w:r>
      <w:r w:rsidR="00177F94" w:rsidRPr="008B55C6">
        <w:rPr>
          <w:rFonts w:ascii="Arial" w:hAnsi="Arial" w:cs="Arial"/>
        </w:rPr>
        <w:t xml:space="preserve"> </w:t>
      </w:r>
      <w:r w:rsidRPr="008B55C6">
        <w:rPr>
          <w:rFonts w:ascii="Arial" w:hAnsi="Arial" w:cs="Arial"/>
        </w:rPr>
        <w:t xml:space="preserve">Wydziału Środowiska </w:t>
      </w:r>
    </w:p>
    <w:p w14:paraId="670EB399" w14:textId="77777777" w:rsidR="003D5B90" w:rsidRPr="008B55C6" w:rsidRDefault="003D5B90" w:rsidP="00177F94">
      <w:pPr>
        <w:spacing w:line="360" w:lineRule="auto"/>
        <w:rPr>
          <w:rFonts w:ascii="Arial" w:hAnsi="Arial" w:cs="Arial"/>
          <w:b/>
          <w:sz w:val="22"/>
          <w:szCs w:val="22"/>
        </w:rPr>
      </w:pPr>
    </w:p>
    <w:p w14:paraId="68FD45D9" w14:textId="77777777" w:rsidR="003D5B90" w:rsidRPr="008B55C6" w:rsidRDefault="003D5B90" w:rsidP="00177F94">
      <w:pPr>
        <w:spacing w:line="360" w:lineRule="auto"/>
        <w:rPr>
          <w:rFonts w:ascii="Arial" w:hAnsi="Arial" w:cs="Arial"/>
          <w:b/>
          <w:sz w:val="22"/>
          <w:szCs w:val="22"/>
        </w:rPr>
      </w:pPr>
    </w:p>
    <w:p w14:paraId="43CE56AB" w14:textId="79FC8EC0" w:rsidR="003D5B90" w:rsidRPr="008B55C6" w:rsidRDefault="003D5B90" w:rsidP="00177F94">
      <w:pPr>
        <w:spacing w:line="360" w:lineRule="auto"/>
        <w:rPr>
          <w:rFonts w:ascii="Arial" w:hAnsi="Arial" w:cs="Arial"/>
          <w:b/>
          <w:sz w:val="22"/>
          <w:szCs w:val="22"/>
        </w:rPr>
      </w:pPr>
      <w:r w:rsidRPr="008B55C6">
        <w:rPr>
          <w:rFonts w:ascii="Arial" w:hAnsi="Arial" w:cs="Arial"/>
          <w:b/>
          <w:sz w:val="22"/>
          <w:szCs w:val="22"/>
        </w:rPr>
        <w:t>Załączniki:</w:t>
      </w:r>
    </w:p>
    <w:p w14:paraId="5DDFC093" w14:textId="77777777" w:rsidR="003D5B90" w:rsidRPr="008B55C6" w:rsidRDefault="003D5B90" w:rsidP="00177F94">
      <w:pPr>
        <w:spacing w:line="360" w:lineRule="auto"/>
        <w:rPr>
          <w:rFonts w:ascii="Arial" w:hAnsi="Arial" w:cs="Arial"/>
          <w:sz w:val="22"/>
          <w:szCs w:val="22"/>
        </w:rPr>
      </w:pPr>
      <w:r w:rsidRPr="008B55C6">
        <w:rPr>
          <w:rFonts w:ascii="Arial" w:hAnsi="Arial" w:cs="Arial"/>
          <w:sz w:val="22"/>
          <w:szCs w:val="22"/>
        </w:rPr>
        <w:lastRenderedPageBreak/>
        <w:t xml:space="preserve">Charakterystyka planowanego przedsięwzięcia </w:t>
      </w:r>
    </w:p>
    <w:p w14:paraId="6BEBBB2A" w14:textId="77777777" w:rsidR="003D5B90" w:rsidRPr="008B55C6" w:rsidRDefault="003D5B90" w:rsidP="00177F94">
      <w:pPr>
        <w:spacing w:line="360" w:lineRule="auto"/>
        <w:rPr>
          <w:rFonts w:ascii="Arial" w:hAnsi="Arial" w:cs="Arial"/>
          <w:sz w:val="22"/>
          <w:szCs w:val="22"/>
        </w:rPr>
      </w:pPr>
    </w:p>
    <w:p w14:paraId="0A0B3185" w14:textId="77777777" w:rsidR="00704EA9" w:rsidRPr="008B55C6" w:rsidRDefault="00704EA9" w:rsidP="00177F94">
      <w:pPr>
        <w:spacing w:line="360" w:lineRule="auto"/>
        <w:rPr>
          <w:rFonts w:ascii="Arial" w:hAnsi="Arial" w:cs="Arial"/>
          <w:b/>
          <w:sz w:val="20"/>
          <w:szCs w:val="20"/>
        </w:rPr>
      </w:pPr>
    </w:p>
    <w:p w14:paraId="1B641DF8" w14:textId="4F40F531" w:rsidR="003D5B90" w:rsidRPr="008B55C6" w:rsidRDefault="003D5B90" w:rsidP="00177F94">
      <w:pPr>
        <w:spacing w:line="360" w:lineRule="auto"/>
        <w:rPr>
          <w:rFonts w:ascii="Arial" w:hAnsi="Arial" w:cs="Arial"/>
          <w:sz w:val="20"/>
          <w:szCs w:val="20"/>
        </w:rPr>
      </w:pPr>
      <w:r w:rsidRPr="008B55C6">
        <w:rPr>
          <w:rFonts w:ascii="Arial" w:hAnsi="Arial" w:cs="Arial"/>
          <w:b/>
          <w:sz w:val="20"/>
          <w:szCs w:val="20"/>
        </w:rPr>
        <w:t>Otrzymują:</w:t>
      </w:r>
    </w:p>
    <w:p w14:paraId="6ADE78B3"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Pan Krzysztof </w:t>
      </w:r>
      <w:proofErr w:type="spellStart"/>
      <w:r w:rsidRPr="008B55C6">
        <w:rPr>
          <w:rFonts w:ascii="Arial" w:hAnsi="Arial" w:cs="Arial"/>
          <w:sz w:val="20"/>
          <w:szCs w:val="20"/>
        </w:rPr>
        <w:t>Madaj</w:t>
      </w:r>
      <w:proofErr w:type="spellEnd"/>
      <w:r w:rsidRPr="008B55C6">
        <w:rPr>
          <w:rFonts w:ascii="Arial" w:hAnsi="Arial" w:cs="Arial"/>
          <w:sz w:val="20"/>
          <w:szCs w:val="20"/>
        </w:rPr>
        <w:t xml:space="preserve"> – pełnomocnik ANWIL S.A. we Włocławku </w:t>
      </w:r>
    </w:p>
    <w:p w14:paraId="73C96169"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Pani Klara </w:t>
      </w:r>
      <w:proofErr w:type="spellStart"/>
      <w:r w:rsidRPr="008B55C6">
        <w:rPr>
          <w:rFonts w:ascii="Arial" w:hAnsi="Arial" w:cs="Arial"/>
          <w:sz w:val="20"/>
          <w:szCs w:val="20"/>
        </w:rPr>
        <w:t>Kanderska</w:t>
      </w:r>
      <w:proofErr w:type="spellEnd"/>
      <w:r w:rsidRPr="008B55C6">
        <w:rPr>
          <w:rFonts w:ascii="Arial" w:hAnsi="Arial" w:cs="Arial"/>
          <w:sz w:val="20"/>
          <w:szCs w:val="20"/>
        </w:rPr>
        <w:t xml:space="preserve"> - pełnomocnik ANWIL S.A. we Włocławku</w:t>
      </w:r>
    </w:p>
    <w:p w14:paraId="0FAAF90D"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Gmina Miasto Włocławek </w:t>
      </w:r>
    </w:p>
    <w:p w14:paraId="2D211D99" w14:textId="3E4C42FD"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BEST-CHEM LTD Sp.</w:t>
      </w:r>
      <w:r w:rsidR="00177F94" w:rsidRPr="008B55C6">
        <w:rPr>
          <w:rFonts w:ascii="Arial" w:hAnsi="Arial" w:cs="Arial"/>
          <w:sz w:val="20"/>
          <w:szCs w:val="20"/>
        </w:rPr>
        <w:t xml:space="preserve"> </w:t>
      </w:r>
      <w:r w:rsidRPr="008B55C6">
        <w:rPr>
          <w:rFonts w:ascii="Arial" w:hAnsi="Arial" w:cs="Arial"/>
          <w:sz w:val="20"/>
          <w:szCs w:val="20"/>
        </w:rPr>
        <w:t>z o.o. Sochaczew</w:t>
      </w:r>
    </w:p>
    <w:p w14:paraId="6A79410F" w14:textId="7B5412D7" w:rsidR="003D5B90" w:rsidRPr="008B55C6" w:rsidRDefault="003D5B90" w:rsidP="00177F94">
      <w:pPr>
        <w:spacing w:line="360" w:lineRule="auto"/>
        <w:rPr>
          <w:rFonts w:ascii="Arial" w:hAnsi="Arial" w:cs="Arial"/>
          <w:sz w:val="20"/>
          <w:szCs w:val="20"/>
        </w:rPr>
      </w:pPr>
      <w:proofErr w:type="spellStart"/>
      <w:r w:rsidRPr="008B55C6">
        <w:rPr>
          <w:rFonts w:ascii="Arial" w:hAnsi="Arial" w:cs="Arial"/>
          <w:sz w:val="20"/>
          <w:szCs w:val="20"/>
        </w:rPr>
        <w:t>Indorama</w:t>
      </w:r>
      <w:proofErr w:type="spellEnd"/>
      <w:r w:rsidRPr="008B55C6">
        <w:rPr>
          <w:rFonts w:ascii="Arial" w:hAnsi="Arial" w:cs="Arial"/>
          <w:sz w:val="20"/>
          <w:szCs w:val="20"/>
        </w:rPr>
        <w:t xml:space="preserve"> </w:t>
      </w:r>
      <w:proofErr w:type="spellStart"/>
      <w:r w:rsidRPr="008B55C6">
        <w:rPr>
          <w:rFonts w:ascii="Arial" w:hAnsi="Arial" w:cs="Arial"/>
          <w:sz w:val="20"/>
          <w:szCs w:val="20"/>
        </w:rPr>
        <w:t>Ventures</w:t>
      </w:r>
      <w:proofErr w:type="spellEnd"/>
      <w:r w:rsidRPr="008B55C6">
        <w:rPr>
          <w:rFonts w:ascii="Arial" w:hAnsi="Arial" w:cs="Arial"/>
          <w:sz w:val="20"/>
          <w:szCs w:val="20"/>
        </w:rPr>
        <w:t xml:space="preserve"> Poland Sp.</w:t>
      </w:r>
      <w:r w:rsidR="00177F94" w:rsidRPr="008B55C6">
        <w:rPr>
          <w:rFonts w:ascii="Arial" w:hAnsi="Arial" w:cs="Arial"/>
          <w:sz w:val="20"/>
          <w:szCs w:val="20"/>
        </w:rPr>
        <w:t xml:space="preserve"> </w:t>
      </w:r>
      <w:r w:rsidRPr="008B55C6">
        <w:rPr>
          <w:rFonts w:ascii="Arial" w:hAnsi="Arial" w:cs="Arial"/>
          <w:sz w:val="20"/>
          <w:szCs w:val="20"/>
        </w:rPr>
        <w:t xml:space="preserve">z o.o. we Włocławku </w:t>
      </w:r>
    </w:p>
    <w:p w14:paraId="48C1CB6B"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ORLEN Serwis S.A. Płock </w:t>
      </w:r>
    </w:p>
    <w:p w14:paraId="4DA5A216" w14:textId="032CE4B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Solvay Poland Sp.</w:t>
      </w:r>
      <w:r w:rsidR="00177F94" w:rsidRPr="008B55C6">
        <w:rPr>
          <w:rFonts w:ascii="Arial" w:hAnsi="Arial" w:cs="Arial"/>
          <w:sz w:val="20"/>
          <w:szCs w:val="20"/>
        </w:rPr>
        <w:t xml:space="preserve"> </w:t>
      </w:r>
      <w:r w:rsidRPr="008B55C6">
        <w:rPr>
          <w:rFonts w:ascii="Arial" w:hAnsi="Arial" w:cs="Arial"/>
          <w:sz w:val="20"/>
          <w:szCs w:val="20"/>
        </w:rPr>
        <w:t>z o.o. we Włocławku</w:t>
      </w:r>
      <w:r w:rsidR="00177F94" w:rsidRPr="008B55C6">
        <w:rPr>
          <w:rFonts w:ascii="Arial" w:hAnsi="Arial" w:cs="Arial"/>
          <w:sz w:val="20"/>
          <w:szCs w:val="20"/>
        </w:rPr>
        <w:t xml:space="preserve"> </w:t>
      </w:r>
    </w:p>
    <w:p w14:paraId="6647F424"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Nadleśnictwo Włocławek </w:t>
      </w:r>
    </w:p>
    <w:p w14:paraId="716DF439" w14:textId="77777777" w:rsidR="003D5B90" w:rsidRPr="008B55C6" w:rsidRDefault="003D5B90" w:rsidP="00177F94">
      <w:pPr>
        <w:spacing w:line="360" w:lineRule="auto"/>
        <w:rPr>
          <w:rFonts w:ascii="Arial" w:hAnsi="Arial" w:cs="Arial"/>
          <w:sz w:val="20"/>
          <w:szCs w:val="20"/>
        </w:rPr>
      </w:pPr>
    </w:p>
    <w:p w14:paraId="223F252C" w14:textId="2DD799D3" w:rsidR="003D5B90" w:rsidRPr="008B55C6" w:rsidRDefault="00177F94" w:rsidP="00177F94">
      <w:pPr>
        <w:spacing w:line="360" w:lineRule="auto"/>
        <w:rPr>
          <w:rFonts w:ascii="Arial" w:hAnsi="Arial" w:cs="Arial"/>
          <w:sz w:val="20"/>
          <w:szCs w:val="20"/>
        </w:rPr>
      </w:pPr>
      <w:r w:rsidRPr="008B55C6">
        <w:rPr>
          <w:rFonts w:ascii="Arial" w:hAnsi="Arial" w:cs="Arial"/>
          <w:sz w:val="20"/>
          <w:szCs w:val="20"/>
        </w:rPr>
        <w:t xml:space="preserve"> </w:t>
      </w:r>
    </w:p>
    <w:p w14:paraId="6B81C334" w14:textId="77777777" w:rsidR="003D5B90" w:rsidRPr="008B55C6" w:rsidRDefault="003D5B90" w:rsidP="00177F94">
      <w:pPr>
        <w:spacing w:line="360" w:lineRule="auto"/>
        <w:rPr>
          <w:rFonts w:ascii="Arial" w:hAnsi="Arial" w:cs="Arial"/>
          <w:sz w:val="20"/>
          <w:szCs w:val="20"/>
        </w:rPr>
      </w:pPr>
      <w:r w:rsidRPr="008B55C6">
        <w:rPr>
          <w:rFonts w:ascii="Arial" w:hAnsi="Arial" w:cs="Arial"/>
          <w:b/>
          <w:sz w:val="20"/>
          <w:szCs w:val="20"/>
        </w:rPr>
        <w:t>Do wiadomości:</w:t>
      </w:r>
    </w:p>
    <w:p w14:paraId="6C2A80E6"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Regionalny Dyrektor Ochrony Środowiska w Bydgoszczy</w:t>
      </w:r>
    </w:p>
    <w:p w14:paraId="359FDDAF"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Państwowy Powiatowy Inspektor Sanitarny we Włocławku </w:t>
      </w:r>
    </w:p>
    <w:p w14:paraId="51084C3A"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Marszałek Województwa Kujawsko-Pomorskiego w Toruniu</w:t>
      </w:r>
    </w:p>
    <w:p w14:paraId="46613C1D"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Państwowe Gospodarstwo Wodne Wody Polskie Regionalny Zarząd Gospodarki Wodnej w Gdańsku</w:t>
      </w:r>
    </w:p>
    <w:p w14:paraId="1B4C05B8" w14:textId="77777777" w:rsidR="003D5B90" w:rsidRPr="008B55C6" w:rsidRDefault="003D5B90" w:rsidP="00177F94">
      <w:pPr>
        <w:spacing w:line="360" w:lineRule="auto"/>
        <w:rPr>
          <w:rFonts w:ascii="Arial" w:hAnsi="Arial" w:cs="Arial"/>
          <w:sz w:val="20"/>
          <w:szCs w:val="20"/>
        </w:rPr>
      </w:pPr>
      <w:r w:rsidRPr="008B55C6">
        <w:rPr>
          <w:rFonts w:ascii="Arial" w:hAnsi="Arial" w:cs="Arial"/>
          <w:sz w:val="20"/>
          <w:szCs w:val="20"/>
        </w:rPr>
        <w:t xml:space="preserve">a/a A.P. </w:t>
      </w:r>
    </w:p>
    <w:p w14:paraId="4E842DDF" w14:textId="77777777" w:rsidR="003D5B90" w:rsidRPr="008B55C6" w:rsidRDefault="003D5B90" w:rsidP="00177F94">
      <w:pPr>
        <w:spacing w:line="360" w:lineRule="auto"/>
        <w:rPr>
          <w:rFonts w:ascii="Arial" w:hAnsi="Arial" w:cs="Arial"/>
          <w:sz w:val="18"/>
          <w:szCs w:val="18"/>
        </w:rPr>
      </w:pPr>
    </w:p>
    <w:p w14:paraId="3FE0AF89" w14:textId="77777777" w:rsidR="003D5B90" w:rsidRPr="008B55C6" w:rsidRDefault="003D5B90" w:rsidP="00177F94">
      <w:pPr>
        <w:spacing w:line="360" w:lineRule="auto"/>
        <w:rPr>
          <w:rFonts w:ascii="Arial" w:hAnsi="Arial" w:cs="Arial"/>
          <w:sz w:val="18"/>
          <w:szCs w:val="18"/>
        </w:rPr>
      </w:pPr>
    </w:p>
    <w:p w14:paraId="29BAE759" w14:textId="77777777" w:rsidR="003D5B90" w:rsidRPr="008B55C6" w:rsidRDefault="003D5B90" w:rsidP="00177F94">
      <w:pPr>
        <w:spacing w:line="360" w:lineRule="auto"/>
        <w:rPr>
          <w:rFonts w:ascii="Arial" w:hAnsi="Arial" w:cs="Arial"/>
          <w:sz w:val="18"/>
          <w:szCs w:val="18"/>
        </w:rPr>
      </w:pPr>
    </w:p>
    <w:p w14:paraId="024A0D3D" w14:textId="77777777" w:rsidR="003D5B90" w:rsidRPr="008B55C6" w:rsidRDefault="003D5B90" w:rsidP="00177F94">
      <w:pPr>
        <w:spacing w:line="360" w:lineRule="auto"/>
        <w:rPr>
          <w:rFonts w:ascii="Arial" w:hAnsi="Arial" w:cs="Arial"/>
          <w:sz w:val="18"/>
          <w:szCs w:val="18"/>
        </w:rPr>
      </w:pPr>
    </w:p>
    <w:p w14:paraId="6DEA90B5" w14:textId="77777777" w:rsidR="003D5B90" w:rsidRPr="008B55C6" w:rsidRDefault="003D5B90" w:rsidP="00177F94">
      <w:pPr>
        <w:spacing w:line="360" w:lineRule="auto"/>
        <w:rPr>
          <w:rFonts w:ascii="Arial" w:hAnsi="Arial" w:cs="Arial"/>
          <w:sz w:val="18"/>
          <w:szCs w:val="18"/>
        </w:rPr>
      </w:pPr>
    </w:p>
    <w:p w14:paraId="5ABE6EC2" w14:textId="77777777" w:rsidR="003D5B90" w:rsidRPr="008B55C6" w:rsidRDefault="003D5B90" w:rsidP="00177F94">
      <w:pPr>
        <w:spacing w:line="360" w:lineRule="auto"/>
        <w:rPr>
          <w:rFonts w:ascii="Arial" w:hAnsi="Arial" w:cs="Arial"/>
          <w:sz w:val="18"/>
          <w:szCs w:val="18"/>
        </w:rPr>
      </w:pPr>
    </w:p>
    <w:p w14:paraId="5D1ECD09" w14:textId="77777777" w:rsidR="003D5B90" w:rsidRPr="008B55C6" w:rsidRDefault="003D5B90" w:rsidP="00177F94">
      <w:pPr>
        <w:spacing w:line="360" w:lineRule="auto"/>
        <w:rPr>
          <w:rFonts w:ascii="Arial" w:hAnsi="Arial" w:cs="Arial"/>
          <w:sz w:val="18"/>
          <w:szCs w:val="18"/>
        </w:rPr>
      </w:pPr>
      <w:r w:rsidRPr="008B55C6">
        <w:rPr>
          <w:rFonts w:ascii="Arial" w:hAnsi="Arial" w:cs="Arial"/>
          <w:sz w:val="18"/>
          <w:szCs w:val="18"/>
        </w:rPr>
        <w:t>Sporządziła:</w:t>
      </w:r>
    </w:p>
    <w:p w14:paraId="01ACBEFF" w14:textId="77777777" w:rsidR="003D5B90" w:rsidRPr="008B55C6" w:rsidRDefault="003D5B90" w:rsidP="00177F94">
      <w:pPr>
        <w:spacing w:line="360" w:lineRule="auto"/>
        <w:rPr>
          <w:rFonts w:ascii="Arial" w:hAnsi="Arial" w:cs="Arial"/>
          <w:sz w:val="18"/>
          <w:szCs w:val="18"/>
        </w:rPr>
      </w:pPr>
      <w:r w:rsidRPr="008B55C6">
        <w:rPr>
          <w:rFonts w:ascii="Arial" w:hAnsi="Arial" w:cs="Arial"/>
          <w:sz w:val="18"/>
          <w:szCs w:val="18"/>
        </w:rPr>
        <w:t xml:space="preserve">Aleksandra Polatowska </w:t>
      </w:r>
    </w:p>
    <w:p w14:paraId="5B27DF41" w14:textId="77777777" w:rsidR="003D5B90" w:rsidRPr="008B55C6" w:rsidRDefault="003D5B90" w:rsidP="00177F94">
      <w:pPr>
        <w:spacing w:line="360" w:lineRule="auto"/>
        <w:rPr>
          <w:rFonts w:ascii="Arial" w:hAnsi="Arial" w:cs="Arial"/>
          <w:sz w:val="18"/>
          <w:szCs w:val="18"/>
        </w:rPr>
      </w:pPr>
      <w:r w:rsidRPr="008B55C6">
        <w:rPr>
          <w:rFonts w:ascii="Arial" w:hAnsi="Arial" w:cs="Arial"/>
          <w:sz w:val="18"/>
          <w:szCs w:val="18"/>
        </w:rPr>
        <w:t xml:space="preserve">Starszy inspektor </w:t>
      </w:r>
    </w:p>
    <w:p w14:paraId="23AC974F" w14:textId="77777777" w:rsidR="003D5B90" w:rsidRPr="008B55C6" w:rsidRDefault="003D5B90" w:rsidP="00177F94">
      <w:pPr>
        <w:spacing w:line="360" w:lineRule="auto"/>
        <w:rPr>
          <w:rFonts w:ascii="Arial" w:hAnsi="Arial" w:cs="Arial"/>
          <w:sz w:val="18"/>
          <w:szCs w:val="18"/>
        </w:rPr>
      </w:pPr>
      <w:r w:rsidRPr="008B55C6">
        <w:rPr>
          <w:rFonts w:ascii="Arial" w:hAnsi="Arial" w:cs="Arial"/>
          <w:sz w:val="18"/>
          <w:szCs w:val="18"/>
        </w:rPr>
        <w:t xml:space="preserve">Tel. /54/ 414 43 07 </w:t>
      </w:r>
    </w:p>
    <w:p w14:paraId="2F358240" w14:textId="77777777" w:rsidR="003D5B90" w:rsidRPr="008B55C6" w:rsidRDefault="003D5B90" w:rsidP="00177F94">
      <w:pPr>
        <w:spacing w:line="360" w:lineRule="auto"/>
        <w:rPr>
          <w:rStyle w:val="Hipercze"/>
          <w:rFonts w:ascii="Arial" w:hAnsi="Arial" w:cs="Arial"/>
          <w:sz w:val="18"/>
          <w:szCs w:val="18"/>
        </w:rPr>
      </w:pPr>
      <w:r w:rsidRPr="008B55C6">
        <w:rPr>
          <w:rFonts w:ascii="Arial" w:hAnsi="Arial" w:cs="Arial"/>
          <w:sz w:val="18"/>
          <w:szCs w:val="18"/>
        </w:rPr>
        <w:t xml:space="preserve">Email: </w:t>
      </w:r>
      <w:hyperlink w:history="1">
        <w:r w:rsidRPr="008B55C6">
          <w:rPr>
            <w:rStyle w:val="Hipercze"/>
            <w:rFonts w:ascii="Arial" w:hAnsi="Arial" w:cs="Arial"/>
            <w:sz w:val="18"/>
            <w:szCs w:val="18"/>
          </w:rPr>
          <w:t>apolatowska@um.wloclawek.pl</w:t>
        </w:r>
      </w:hyperlink>
    </w:p>
    <w:p w14:paraId="77EC040E" w14:textId="188B1CB4" w:rsidR="00704EA9" w:rsidRPr="008B55C6" w:rsidRDefault="00704EA9" w:rsidP="00177F94">
      <w:pPr>
        <w:spacing w:line="360" w:lineRule="auto"/>
        <w:rPr>
          <w:rFonts w:ascii="Arial" w:hAnsi="Arial" w:cs="Arial"/>
        </w:rPr>
      </w:pPr>
      <w:r w:rsidRPr="008B55C6">
        <w:rPr>
          <w:rFonts w:ascii="Arial" w:hAnsi="Arial" w:cs="Arial"/>
        </w:rPr>
        <w:t>Włocławek, 20 czerwca 2024 r.</w:t>
      </w:r>
    </w:p>
    <w:p w14:paraId="5F573B34" w14:textId="77777777" w:rsidR="00704EA9" w:rsidRPr="008B55C6" w:rsidRDefault="00704EA9" w:rsidP="00177F94">
      <w:pPr>
        <w:spacing w:line="360" w:lineRule="auto"/>
        <w:rPr>
          <w:rStyle w:val="Hipercze"/>
          <w:rFonts w:ascii="Arial" w:hAnsi="Arial" w:cs="Arial"/>
          <w:sz w:val="18"/>
          <w:szCs w:val="18"/>
        </w:rPr>
      </w:pPr>
    </w:p>
    <w:p w14:paraId="4CB5D472" w14:textId="77777777" w:rsidR="00704EA9" w:rsidRPr="008B55C6" w:rsidRDefault="00704EA9" w:rsidP="00177F94">
      <w:pPr>
        <w:spacing w:line="360" w:lineRule="auto"/>
        <w:rPr>
          <w:rStyle w:val="Hipercze"/>
          <w:rFonts w:ascii="Arial" w:hAnsi="Arial" w:cs="Arial"/>
          <w:sz w:val="18"/>
          <w:szCs w:val="18"/>
        </w:rPr>
      </w:pPr>
    </w:p>
    <w:p w14:paraId="062C6BA5" w14:textId="2BD8F291" w:rsidR="00704EA9" w:rsidRPr="008B55C6" w:rsidRDefault="00704EA9" w:rsidP="00177F94">
      <w:pPr>
        <w:spacing w:line="360" w:lineRule="auto"/>
        <w:rPr>
          <w:rFonts w:ascii="Arial" w:hAnsi="Arial" w:cs="Arial"/>
        </w:rPr>
      </w:pPr>
      <w:r w:rsidRPr="008B55C6">
        <w:rPr>
          <w:rFonts w:ascii="Arial" w:hAnsi="Arial" w:cs="Arial"/>
        </w:rPr>
        <w:t xml:space="preserve">Załącznik do decyzji Prezydenta Miasta Włocławek z dnia 20.06.2024 r. znak: S.6220.4.2024 o środowiskowych uwarunkowaniach dla przedsięwzięcia pn.: </w:t>
      </w:r>
      <w:r w:rsidRPr="008B55C6">
        <w:rPr>
          <w:rFonts w:ascii="Arial" w:hAnsi="Arial" w:cs="Arial"/>
          <w:b/>
        </w:rPr>
        <w:t>„</w:t>
      </w:r>
      <w:r w:rsidRPr="008B55C6">
        <w:rPr>
          <w:rFonts w:ascii="Arial" w:eastAsia="Calibri" w:hAnsi="Arial" w:cs="Arial"/>
          <w:b/>
          <w:bCs/>
          <w:lang w:eastAsia="en-US"/>
        </w:rPr>
        <w:t xml:space="preserve">Budowa </w:t>
      </w:r>
      <w:r w:rsidRPr="008B55C6">
        <w:rPr>
          <w:rFonts w:ascii="Arial" w:hAnsi="Arial" w:cs="Arial"/>
          <w:b/>
          <w:bCs/>
        </w:rPr>
        <w:t xml:space="preserve">nowego źródła szczytowo – rezerwowego pary KPŚ II na terenie zakładowej elektrociepłowni ANWIL S.A. zlokalizowanej </w:t>
      </w:r>
      <w:r w:rsidRPr="008B55C6">
        <w:rPr>
          <w:rFonts w:ascii="Arial" w:hAnsi="Arial" w:cs="Arial"/>
          <w:b/>
          <w:bCs/>
        </w:rPr>
        <w:br/>
        <w:t>na działkach ewidencyjnych nr 16, 38, 39 obręb 0008 Azoty we Włocławku</w:t>
      </w:r>
    </w:p>
    <w:p w14:paraId="712A5615" w14:textId="77777777" w:rsidR="00704EA9" w:rsidRPr="008B55C6" w:rsidRDefault="00704EA9" w:rsidP="00177F94">
      <w:pPr>
        <w:spacing w:line="360" w:lineRule="auto"/>
        <w:rPr>
          <w:rFonts w:ascii="Arial" w:hAnsi="Arial" w:cs="Arial"/>
        </w:rPr>
      </w:pPr>
    </w:p>
    <w:p w14:paraId="003545DD" w14:textId="77777777" w:rsidR="00704EA9" w:rsidRPr="008B55C6" w:rsidRDefault="00704EA9" w:rsidP="00177F94">
      <w:pPr>
        <w:spacing w:line="360" w:lineRule="auto"/>
        <w:rPr>
          <w:rFonts w:ascii="Arial" w:hAnsi="Arial" w:cs="Arial"/>
          <w:b/>
        </w:rPr>
      </w:pPr>
      <w:r w:rsidRPr="008B55C6">
        <w:rPr>
          <w:rFonts w:ascii="Arial" w:hAnsi="Arial" w:cs="Arial"/>
          <w:b/>
        </w:rPr>
        <w:lastRenderedPageBreak/>
        <w:t>Charakterystyka przedsięwzięcia</w:t>
      </w:r>
    </w:p>
    <w:p w14:paraId="16C5E7DC" w14:textId="77777777" w:rsidR="00704EA9" w:rsidRPr="008B55C6" w:rsidRDefault="00704EA9" w:rsidP="00177F94">
      <w:pPr>
        <w:spacing w:line="360" w:lineRule="auto"/>
        <w:rPr>
          <w:rFonts w:ascii="Arial" w:hAnsi="Arial" w:cs="Arial"/>
          <w:b/>
        </w:rPr>
      </w:pPr>
    </w:p>
    <w:p w14:paraId="415C9BB8" w14:textId="77777777"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Planowane przedsięwzięcie polega na budowie kotłowni szczytowo-rezerwowej, opalanej gazem zmiennym, w skład której wchodzić będą:</w:t>
      </w:r>
    </w:p>
    <w:p w14:paraId="18CEBDEA" w14:textId="77777777" w:rsidR="00704EA9" w:rsidRPr="008B55C6" w:rsidRDefault="00704EA9" w:rsidP="00177F94">
      <w:pPr>
        <w:numPr>
          <w:ilvl w:val="0"/>
          <w:numId w:val="26"/>
        </w:num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Kocioł parowy K-5 o mocy cieplnej ok. 40 MW,</w:t>
      </w:r>
    </w:p>
    <w:p w14:paraId="4E587E6B" w14:textId="77777777" w:rsidR="00704EA9" w:rsidRPr="008B55C6" w:rsidRDefault="00704EA9" w:rsidP="00177F94">
      <w:pPr>
        <w:numPr>
          <w:ilvl w:val="0"/>
          <w:numId w:val="26"/>
        </w:num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Kocioł parowy K-6 o mocy cieplnej ok. 40 MW lub ok. 46 MW,</w:t>
      </w:r>
    </w:p>
    <w:p w14:paraId="33F6A27E" w14:textId="77777777" w:rsidR="00704EA9" w:rsidRPr="008B55C6" w:rsidRDefault="00704EA9" w:rsidP="00177F94">
      <w:pPr>
        <w:numPr>
          <w:ilvl w:val="0"/>
          <w:numId w:val="26"/>
        </w:num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Kocioł parowy K-7 o mocy cieplnej ok. 46 MW.</w:t>
      </w:r>
    </w:p>
    <w:p w14:paraId="17C48A87"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6A030CD8" w14:textId="3CDE81F6"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 xml:space="preserve">Kotły będą wytwarzać parę o maksymalnym ciśnieniu nie większym niż 1,1 i 4,3 </w:t>
      </w:r>
      <w:proofErr w:type="spellStart"/>
      <w:r w:rsidRPr="008B55C6">
        <w:rPr>
          <w:rFonts w:ascii="Arial" w:eastAsia="Calibri" w:hAnsi="Arial" w:cs="Arial"/>
          <w:lang w:eastAsia="en-US"/>
        </w:rPr>
        <w:t>MPa</w:t>
      </w:r>
      <w:proofErr w:type="spellEnd"/>
      <w:r w:rsidRPr="008B55C6">
        <w:rPr>
          <w:rFonts w:ascii="Arial" w:eastAsia="Calibri" w:hAnsi="Arial" w:cs="Arial"/>
          <w:lang w:eastAsia="en-US"/>
        </w:rPr>
        <w:t xml:space="preserve">. Łączna moc cieplna planowanej kotłowni wyniesie maksymalnie ok. 123 MW, co będzie odpowiadać mocy w dostarczonym paliwie na poziomie ok. 139,1 MW. Urządzenia wytwórcze i infrastruktura towarzysząca nowej kotłowni będą stanowiły integralną część istniejącej Elektrociepłowni ANWIL S.A. </w:t>
      </w:r>
    </w:p>
    <w:p w14:paraId="1210B654"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262F71A9" w14:textId="77777777"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W wyniku rozbudowy instalacji spalania paliw (Elektrociepłowni) zwiększy się moc produkcyjna energii cieplnej z obecnej zdolności 7 812 168 GJ na 12 436 573 GJ.</w:t>
      </w:r>
    </w:p>
    <w:p w14:paraId="05281C44"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6ED11532" w14:textId="77777777"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 xml:space="preserve">W ramach inwestycji przewidziano budowę dwuczęściowego budynku nowej kotłowni. Część technologiczna będzie średniowysoką (ok. 21 m), jednoprzestrzenną halą o konstrukcji stalowej. Zlokalizowane w niej będą główne urządzenia, tj.: kotły, zbiorniki wody zasilającej, ekonomizery kondensacyjne, pompy, stacje RS, orurowanie oraz inne wymagane urządzenia i instalacje technologiczne. Natomiast rozprężacze oraz zbiorniki wraz z pompami kondensatu będą zlokalizowane w istniejącym budynku Elektrociepłowni, a media będą doprowadzone do nich rurociągami prowadzonymi po nowej estakadzie. </w:t>
      </w:r>
    </w:p>
    <w:p w14:paraId="66271DB7"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05ABEDBF" w14:textId="2D105D7D"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t xml:space="preserve">Część wielofunkcyjna natomiast, będzie obiektem trzykondygnacyjnym, średniowysokim (ok. 14 m) o funkcji techniczno-socjalnej, w której będą znajdować się pomieszczenia sterowni, </w:t>
      </w:r>
      <w:proofErr w:type="spellStart"/>
      <w:r w:rsidRPr="008B55C6">
        <w:rPr>
          <w:rFonts w:ascii="Arial" w:eastAsia="Calibri" w:hAnsi="Arial" w:cs="Arial"/>
          <w:lang w:eastAsia="en-US"/>
        </w:rPr>
        <w:t>mistrzówki</w:t>
      </w:r>
      <w:proofErr w:type="spellEnd"/>
      <w:r w:rsidRPr="008B55C6">
        <w:rPr>
          <w:rFonts w:ascii="Arial" w:eastAsia="Calibri" w:hAnsi="Arial" w:cs="Arial"/>
          <w:lang w:eastAsia="en-US"/>
        </w:rPr>
        <w:t xml:space="preserve"> z pomieszczeniem BHP, szatni z łazienką, kuchni i jadalni. Między istniejącą kotłownią Elektrociepłowni ANWIL S.A., a nowo projektowanym budynkiem kotłowni gazowej zostaną poprowadzone ciągi komunikacyjne umożliwiające przemieszczanie się pracowników.</w:t>
      </w:r>
    </w:p>
    <w:p w14:paraId="2FCC59F5"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4DA3CDDE" w14:textId="77777777" w:rsidR="00704EA9" w:rsidRPr="008B55C6" w:rsidRDefault="00704EA9" w:rsidP="00177F94">
      <w:pPr>
        <w:autoSpaceDE w:val="0"/>
        <w:autoSpaceDN w:val="0"/>
        <w:adjustRightInd w:val="0"/>
        <w:spacing w:line="360" w:lineRule="auto"/>
        <w:rPr>
          <w:rFonts w:ascii="Arial" w:eastAsia="Calibri" w:hAnsi="Arial" w:cs="Arial"/>
          <w:lang w:eastAsia="en-US"/>
        </w:rPr>
      </w:pPr>
      <w:r w:rsidRPr="008B55C6">
        <w:rPr>
          <w:rFonts w:ascii="Arial" w:eastAsia="Calibri" w:hAnsi="Arial" w:cs="Arial"/>
          <w:lang w:eastAsia="en-US"/>
        </w:rPr>
        <w:lastRenderedPageBreak/>
        <w:t xml:space="preserve">Planowana inwestycja w fazie eksploatacji przyczyni się do zwiększenia zużycia energii elektrycznej, surowców, materiałów i ilości wykorzystywanej wody w porównaniu do stanu obecnego. </w:t>
      </w:r>
    </w:p>
    <w:p w14:paraId="201D8A87"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28581E75" w14:textId="77777777" w:rsidR="00704EA9" w:rsidRPr="008B55C6" w:rsidRDefault="00704EA9" w:rsidP="00177F94">
      <w:pPr>
        <w:autoSpaceDE w:val="0"/>
        <w:autoSpaceDN w:val="0"/>
        <w:adjustRightInd w:val="0"/>
        <w:spacing w:line="360" w:lineRule="auto"/>
        <w:rPr>
          <w:rFonts w:ascii="Arial" w:eastAsia="Calibri" w:hAnsi="Arial" w:cs="Arial"/>
          <w:lang w:eastAsia="en-US"/>
        </w:rPr>
      </w:pPr>
    </w:p>
    <w:p w14:paraId="20C5400C" w14:textId="77777777" w:rsidR="00704EA9" w:rsidRPr="008B55C6" w:rsidRDefault="00704EA9" w:rsidP="00177F94">
      <w:pPr>
        <w:tabs>
          <w:tab w:val="left" w:pos="1695"/>
        </w:tabs>
        <w:spacing w:line="360" w:lineRule="auto"/>
        <w:rPr>
          <w:rFonts w:ascii="Arial" w:hAnsi="Arial" w:cs="Arial"/>
          <w:sz w:val="20"/>
          <w:szCs w:val="20"/>
        </w:rPr>
      </w:pPr>
    </w:p>
    <w:p w14:paraId="26CE1673" w14:textId="77777777" w:rsidR="0056290E" w:rsidRPr="008B55C6" w:rsidRDefault="0056290E" w:rsidP="00177F94">
      <w:pPr>
        <w:spacing w:line="360" w:lineRule="auto"/>
        <w:rPr>
          <w:rFonts w:ascii="Arial" w:hAnsi="Arial" w:cs="Arial"/>
        </w:rPr>
      </w:pPr>
    </w:p>
    <w:sectPr w:rsidR="0056290E" w:rsidRPr="008B55C6" w:rsidSect="00FF088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D8CE0" w14:textId="77777777" w:rsidR="004A2DC0" w:rsidRDefault="004A2DC0" w:rsidP="00FF0880">
      <w:r>
        <w:separator/>
      </w:r>
    </w:p>
  </w:endnote>
  <w:endnote w:type="continuationSeparator" w:id="0">
    <w:p w14:paraId="6B608190" w14:textId="77777777" w:rsidR="004A2DC0" w:rsidRDefault="004A2DC0" w:rsidP="00FF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9099839"/>
      <w:docPartObj>
        <w:docPartGallery w:val="Page Numbers (Bottom of Page)"/>
        <w:docPartUnique/>
      </w:docPartObj>
    </w:sdtPr>
    <w:sdtContent>
      <w:p w14:paraId="5D2AA06F" w14:textId="103421A4" w:rsidR="00FF0880" w:rsidRDefault="00FF0880">
        <w:pPr>
          <w:pStyle w:val="Stopka"/>
          <w:jc w:val="right"/>
        </w:pPr>
        <w:r>
          <w:fldChar w:fldCharType="begin"/>
        </w:r>
        <w:r>
          <w:instrText>PAGE   \* MERGEFORMAT</w:instrText>
        </w:r>
        <w:r>
          <w:fldChar w:fldCharType="separate"/>
        </w:r>
        <w:r>
          <w:t>2</w:t>
        </w:r>
        <w:r>
          <w:fldChar w:fldCharType="end"/>
        </w:r>
      </w:p>
    </w:sdtContent>
  </w:sdt>
  <w:p w14:paraId="2BA7468B" w14:textId="77777777" w:rsidR="00FF0880" w:rsidRDefault="00FF0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81836" w14:textId="77777777" w:rsidR="004A2DC0" w:rsidRDefault="004A2DC0" w:rsidP="00FF0880">
      <w:r>
        <w:separator/>
      </w:r>
    </w:p>
  </w:footnote>
  <w:footnote w:type="continuationSeparator" w:id="0">
    <w:p w14:paraId="4E08DA30" w14:textId="77777777" w:rsidR="004A2DC0" w:rsidRDefault="004A2DC0" w:rsidP="00FF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6EC1"/>
    <w:multiLevelType w:val="hybridMultilevel"/>
    <w:tmpl w:val="45E6FE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8648F4"/>
    <w:multiLevelType w:val="hybridMultilevel"/>
    <w:tmpl w:val="001A43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FB1A3E"/>
    <w:multiLevelType w:val="hybridMultilevel"/>
    <w:tmpl w:val="ECB230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7A727F5"/>
    <w:multiLevelType w:val="hybridMultilevel"/>
    <w:tmpl w:val="05328F5E"/>
    <w:lvl w:ilvl="0" w:tplc="743A5E56">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24A22C0"/>
    <w:multiLevelType w:val="hybridMultilevel"/>
    <w:tmpl w:val="3D2E9D8C"/>
    <w:lvl w:ilvl="0" w:tplc="8810398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CE5AF5"/>
    <w:multiLevelType w:val="hybridMultilevel"/>
    <w:tmpl w:val="584835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285747C4"/>
    <w:multiLevelType w:val="hybridMultilevel"/>
    <w:tmpl w:val="9604BE54"/>
    <w:lvl w:ilvl="0" w:tplc="F6526372">
      <w:start w:val="1"/>
      <w:numFmt w:val="upperRoman"/>
      <w:lvlText w:val="%1."/>
      <w:lvlJc w:val="left"/>
      <w:pPr>
        <w:ind w:left="720" w:hanging="720"/>
      </w:pPr>
      <w:rPr>
        <w:rFonts w:eastAsia="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57E5688"/>
    <w:multiLevelType w:val="hybridMultilevel"/>
    <w:tmpl w:val="0E4007FC"/>
    <w:lvl w:ilvl="0" w:tplc="4148E776">
      <w:start w:val="1"/>
      <w:numFmt w:val="bullet"/>
      <w:pStyle w:val="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AE04B0"/>
    <w:multiLevelType w:val="hybridMultilevel"/>
    <w:tmpl w:val="0908FC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2DD6D53"/>
    <w:multiLevelType w:val="hybridMultilevel"/>
    <w:tmpl w:val="92846B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45C4A4B"/>
    <w:multiLevelType w:val="hybridMultilevel"/>
    <w:tmpl w:val="E4E277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7B70488"/>
    <w:multiLevelType w:val="hybridMultilevel"/>
    <w:tmpl w:val="09B26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95B6722"/>
    <w:multiLevelType w:val="hybridMultilevel"/>
    <w:tmpl w:val="99F4B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ACD4E81"/>
    <w:multiLevelType w:val="hybridMultilevel"/>
    <w:tmpl w:val="E66083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4CEA72B0"/>
    <w:multiLevelType w:val="hybridMultilevel"/>
    <w:tmpl w:val="40241B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F5B20BF"/>
    <w:multiLevelType w:val="hybridMultilevel"/>
    <w:tmpl w:val="FD0C7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7A5635"/>
    <w:multiLevelType w:val="hybridMultilevel"/>
    <w:tmpl w:val="FC862A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F00D92"/>
    <w:multiLevelType w:val="hybridMultilevel"/>
    <w:tmpl w:val="7F2A07C6"/>
    <w:lvl w:ilvl="0" w:tplc="04150017">
      <w:start w:val="1"/>
      <w:numFmt w:val="lowerLetter"/>
      <w:lvlText w:val="%1)"/>
      <w:lvlJc w:val="left"/>
      <w:pPr>
        <w:ind w:left="1905" w:hanging="360"/>
      </w:pPr>
    </w:lvl>
    <w:lvl w:ilvl="1" w:tplc="04150019">
      <w:start w:val="1"/>
      <w:numFmt w:val="lowerLetter"/>
      <w:lvlText w:val="%2."/>
      <w:lvlJc w:val="left"/>
      <w:pPr>
        <w:ind w:left="2625" w:hanging="360"/>
      </w:pPr>
    </w:lvl>
    <w:lvl w:ilvl="2" w:tplc="0415001B">
      <w:start w:val="1"/>
      <w:numFmt w:val="lowerRoman"/>
      <w:lvlText w:val="%3."/>
      <w:lvlJc w:val="right"/>
      <w:pPr>
        <w:ind w:left="3345" w:hanging="180"/>
      </w:pPr>
    </w:lvl>
    <w:lvl w:ilvl="3" w:tplc="0415000F">
      <w:start w:val="1"/>
      <w:numFmt w:val="decimal"/>
      <w:lvlText w:val="%4."/>
      <w:lvlJc w:val="left"/>
      <w:pPr>
        <w:ind w:left="4065" w:hanging="360"/>
      </w:pPr>
    </w:lvl>
    <w:lvl w:ilvl="4" w:tplc="04150019">
      <w:start w:val="1"/>
      <w:numFmt w:val="lowerLetter"/>
      <w:lvlText w:val="%5."/>
      <w:lvlJc w:val="left"/>
      <w:pPr>
        <w:ind w:left="4785" w:hanging="360"/>
      </w:pPr>
    </w:lvl>
    <w:lvl w:ilvl="5" w:tplc="0415001B">
      <w:start w:val="1"/>
      <w:numFmt w:val="lowerRoman"/>
      <w:lvlText w:val="%6."/>
      <w:lvlJc w:val="right"/>
      <w:pPr>
        <w:ind w:left="5505" w:hanging="180"/>
      </w:pPr>
    </w:lvl>
    <w:lvl w:ilvl="6" w:tplc="0415000F">
      <w:start w:val="1"/>
      <w:numFmt w:val="decimal"/>
      <w:lvlText w:val="%7."/>
      <w:lvlJc w:val="left"/>
      <w:pPr>
        <w:ind w:left="6225" w:hanging="360"/>
      </w:pPr>
    </w:lvl>
    <w:lvl w:ilvl="7" w:tplc="04150019">
      <w:start w:val="1"/>
      <w:numFmt w:val="lowerLetter"/>
      <w:lvlText w:val="%8."/>
      <w:lvlJc w:val="left"/>
      <w:pPr>
        <w:ind w:left="6945" w:hanging="360"/>
      </w:pPr>
    </w:lvl>
    <w:lvl w:ilvl="8" w:tplc="0415001B">
      <w:start w:val="1"/>
      <w:numFmt w:val="lowerRoman"/>
      <w:lvlText w:val="%9."/>
      <w:lvlJc w:val="right"/>
      <w:pPr>
        <w:ind w:left="7665" w:hanging="180"/>
      </w:pPr>
    </w:lvl>
  </w:abstractNum>
  <w:abstractNum w:abstractNumId="18" w15:restartNumberingAfterBreak="0">
    <w:nsid w:val="595441D6"/>
    <w:multiLevelType w:val="hybridMultilevel"/>
    <w:tmpl w:val="F3CC6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2907A1F"/>
    <w:multiLevelType w:val="hybridMultilevel"/>
    <w:tmpl w:val="6E285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EF291E"/>
    <w:multiLevelType w:val="hybridMultilevel"/>
    <w:tmpl w:val="5964B7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656479D4"/>
    <w:multiLevelType w:val="hybridMultilevel"/>
    <w:tmpl w:val="3A367C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8833F23"/>
    <w:multiLevelType w:val="hybridMultilevel"/>
    <w:tmpl w:val="EAFC5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E881CC9"/>
    <w:multiLevelType w:val="hybridMultilevel"/>
    <w:tmpl w:val="4FE42F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BBD64B8"/>
    <w:multiLevelType w:val="hybridMultilevel"/>
    <w:tmpl w:val="793A3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582566"/>
    <w:multiLevelType w:val="hybridMultilevel"/>
    <w:tmpl w:val="DE62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36410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67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4710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184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238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4163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8884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7715">
    <w:abstractNumId w:val="9"/>
  </w:num>
  <w:num w:numId="9" w16cid:durableId="1154176850">
    <w:abstractNumId w:val="1"/>
  </w:num>
  <w:num w:numId="10" w16cid:durableId="111824947">
    <w:abstractNumId w:val="0"/>
  </w:num>
  <w:num w:numId="11" w16cid:durableId="2512397">
    <w:abstractNumId w:val="21"/>
  </w:num>
  <w:num w:numId="12" w16cid:durableId="746809860">
    <w:abstractNumId w:val="18"/>
  </w:num>
  <w:num w:numId="13" w16cid:durableId="1640377380">
    <w:abstractNumId w:val="24"/>
  </w:num>
  <w:num w:numId="14" w16cid:durableId="831263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9065995">
    <w:abstractNumId w:val="13"/>
  </w:num>
  <w:num w:numId="16" w16cid:durableId="821586113">
    <w:abstractNumId w:val="5"/>
  </w:num>
  <w:num w:numId="17" w16cid:durableId="1085953463">
    <w:abstractNumId w:val="12"/>
  </w:num>
  <w:num w:numId="18" w16cid:durableId="1889297981">
    <w:abstractNumId w:val="16"/>
  </w:num>
  <w:num w:numId="19" w16cid:durableId="1981185560">
    <w:abstractNumId w:val="25"/>
  </w:num>
  <w:num w:numId="20" w16cid:durableId="127866807">
    <w:abstractNumId w:val="22"/>
  </w:num>
  <w:num w:numId="21" w16cid:durableId="1349403335">
    <w:abstractNumId w:val="8"/>
  </w:num>
  <w:num w:numId="22" w16cid:durableId="1424835391">
    <w:abstractNumId w:val="11"/>
  </w:num>
  <w:num w:numId="23" w16cid:durableId="1388842094">
    <w:abstractNumId w:val="14"/>
  </w:num>
  <w:num w:numId="24" w16cid:durableId="1524006481">
    <w:abstractNumId w:val="23"/>
  </w:num>
  <w:num w:numId="25" w16cid:durableId="1366717497">
    <w:abstractNumId w:val="7"/>
  </w:num>
  <w:num w:numId="26" w16cid:durableId="313725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0"/>
    <w:rsid w:val="00124FAD"/>
    <w:rsid w:val="0017266D"/>
    <w:rsid w:val="00177F94"/>
    <w:rsid w:val="001F662D"/>
    <w:rsid w:val="003A4615"/>
    <w:rsid w:val="003D5B90"/>
    <w:rsid w:val="004A2DC0"/>
    <w:rsid w:val="004B401A"/>
    <w:rsid w:val="0056290E"/>
    <w:rsid w:val="006C1D8C"/>
    <w:rsid w:val="00704EA9"/>
    <w:rsid w:val="008B55C6"/>
    <w:rsid w:val="00A61D6D"/>
    <w:rsid w:val="00A71AC3"/>
    <w:rsid w:val="00AE18AC"/>
    <w:rsid w:val="00B36F0F"/>
    <w:rsid w:val="00B65DCA"/>
    <w:rsid w:val="00CE3044"/>
    <w:rsid w:val="00D80D06"/>
    <w:rsid w:val="00FF0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887A"/>
  <w15:chartTrackingRefBased/>
  <w15:docId w15:val="{CB92B33E-C0E6-4897-A46A-4C27850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B90"/>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8B55C6"/>
    <w:pPr>
      <w:spacing w:line="360" w:lineRule="auto"/>
      <w:outlineLvl w:val="0"/>
    </w:pPr>
    <w:rPr>
      <w:rFonts w:ascii="Arial" w:hAnsi="Arial" w:cs="Arial"/>
      <w:b/>
    </w:rPr>
  </w:style>
  <w:style w:type="paragraph" w:styleId="Nagwek2">
    <w:name w:val="heading 2"/>
    <w:basedOn w:val="Normalny"/>
    <w:next w:val="Normalny"/>
    <w:link w:val="Nagwek2Znak"/>
    <w:uiPriority w:val="9"/>
    <w:unhideWhenUsed/>
    <w:qFormat/>
    <w:rsid w:val="008B55C6"/>
    <w:pPr>
      <w:spacing w:line="360" w:lineRule="auto"/>
      <w:outlineLvl w:val="1"/>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D5B90"/>
    <w:rPr>
      <w:color w:val="0000FF"/>
      <w:u w:val="single"/>
    </w:rPr>
  </w:style>
  <w:style w:type="paragraph" w:styleId="Tekstpodstawowy">
    <w:name w:val="Body Text"/>
    <w:basedOn w:val="Normalny"/>
    <w:link w:val="TekstpodstawowyZnak"/>
    <w:uiPriority w:val="99"/>
    <w:semiHidden/>
    <w:unhideWhenUsed/>
    <w:rsid w:val="003D5B90"/>
    <w:pPr>
      <w:spacing w:after="120"/>
    </w:pPr>
  </w:style>
  <w:style w:type="character" w:customStyle="1" w:styleId="TekstpodstawowyZnak">
    <w:name w:val="Tekst podstawowy Znak"/>
    <w:basedOn w:val="Domylnaczcionkaakapitu"/>
    <w:link w:val="Tekstpodstawowy"/>
    <w:uiPriority w:val="99"/>
    <w:semiHidden/>
    <w:rsid w:val="003D5B90"/>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D5B90"/>
    <w:pPr>
      <w:ind w:left="720"/>
      <w:contextualSpacing/>
    </w:pPr>
  </w:style>
  <w:style w:type="character" w:customStyle="1" w:styleId="questionhighlight">
    <w:name w:val="question_highlight"/>
    <w:basedOn w:val="Domylnaczcionkaakapitu"/>
    <w:rsid w:val="003D5B90"/>
  </w:style>
  <w:style w:type="table" w:styleId="Tabela-Siatka">
    <w:name w:val="Table Grid"/>
    <w:basedOn w:val="Standardowy"/>
    <w:uiPriority w:val="39"/>
    <w:rsid w:val="003D5B9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704EA9"/>
    <w:pPr>
      <w:spacing w:after="0" w:line="240" w:lineRule="auto"/>
    </w:pPr>
    <w:rPr>
      <w:rFonts w:ascii="Times New Roman" w:eastAsia="Times New Roman" w:hAnsi="Times New Roman" w:cs="Times New Roman"/>
      <w:snapToGrid w:val="0"/>
      <w:kern w:val="0"/>
      <w:sz w:val="24"/>
      <w:szCs w:val="20"/>
      <w:lang w:eastAsia="pl-PL"/>
      <w14:ligatures w14:val="none"/>
    </w:rPr>
  </w:style>
  <w:style w:type="character" w:customStyle="1" w:styleId="StandardZnak">
    <w:name w:val="Standard Znak"/>
    <w:link w:val="Standard"/>
    <w:rsid w:val="00704EA9"/>
    <w:rPr>
      <w:rFonts w:ascii="Times New Roman" w:eastAsia="Times New Roman" w:hAnsi="Times New Roman" w:cs="Times New Roman"/>
      <w:snapToGrid w:val="0"/>
      <w:kern w:val="0"/>
      <w:sz w:val="24"/>
      <w:szCs w:val="20"/>
      <w:lang w:eastAsia="pl-PL"/>
      <w14:ligatures w14:val="none"/>
    </w:rPr>
  </w:style>
  <w:style w:type="paragraph" w:customStyle="1" w:styleId="ALWypunktowanie">
    <w:name w:val="AL_Wypunktowanie"/>
    <w:qFormat/>
    <w:rsid w:val="00704EA9"/>
    <w:pPr>
      <w:numPr>
        <w:numId w:val="25"/>
      </w:numPr>
      <w:spacing w:before="60" w:after="60" w:line="360" w:lineRule="auto"/>
      <w:jc w:val="both"/>
    </w:pPr>
    <w:rPr>
      <w:rFonts w:ascii="Arial" w:eastAsia="Times New Roman" w:hAnsi="Arial" w:cs="Times New Roman"/>
      <w:kern w:val="0"/>
      <w:sz w:val="20"/>
      <w:lang w:eastAsia="ar-SA"/>
      <w14:ligatures w14:val="none"/>
    </w:rPr>
  </w:style>
  <w:style w:type="paragraph" w:styleId="Nagwek">
    <w:name w:val="header"/>
    <w:basedOn w:val="Normalny"/>
    <w:link w:val="NagwekZnak"/>
    <w:uiPriority w:val="99"/>
    <w:unhideWhenUsed/>
    <w:rsid w:val="00FF0880"/>
    <w:pPr>
      <w:tabs>
        <w:tab w:val="center" w:pos="4536"/>
        <w:tab w:val="right" w:pos="9072"/>
      </w:tabs>
    </w:pPr>
  </w:style>
  <w:style w:type="character" w:customStyle="1" w:styleId="NagwekZnak">
    <w:name w:val="Nagłówek Znak"/>
    <w:basedOn w:val="Domylnaczcionkaakapitu"/>
    <w:link w:val="Nagwek"/>
    <w:uiPriority w:val="99"/>
    <w:rsid w:val="00FF088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FF0880"/>
    <w:pPr>
      <w:tabs>
        <w:tab w:val="center" w:pos="4536"/>
        <w:tab w:val="right" w:pos="9072"/>
      </w:tabs>
    </w:pPr>
  </w:style>
  <w:style w:type="character" w:customStyle="1" w:styleId="StopkaZnak">
    <w:name w:val="Stopka Znak"/>
    <w:basedOn w:val="Domylnaczcionkaakapitu"/>
    <w:link w:val="Stopka"/>
    <w:uiPriority w:val="99"/>
    <w:rsid w:val="00FF0880"/>
    <w:rPr>
      <w:rFonts w:ascii="Times New Roman" w:eastAsia="Times New Roman" w:hAnsi="Times New Roman" w:cs="Times New Roman"/>
      <w:kern w:val="0"/>
      <w:sz w:val="24"/>
      <w:szCs w:val="24"/>
      <w:lang w:eastAsia="pl-PL"/>
      <w14:ligatures w14:val="none"/>
    </w:rPr>
  </w:style>
  <w:style w:type="character" w:customStyle="1" w:styleId="Nagwek1Znak">
    <w:name w:val="Nagłówek 1 Znak"/>
    <w:basedOn w:val="Domylnaczcionkaakapitu"/>
    <w:link w:val="Nagwek1"/>
    <w:uiPriority w:val="9"/>
    <w:rsid w:val="008B55C6"/>
    <w:rPr>
      <w:rFonts w:ascii="Arial" w:eastAsia="Times New Roman" w:hAnsi="Arial" w:cs="Arial"/>
      <w:b/>
      <w:kern w:val="0"/>
      <w:sz w:val="24"/>
      <w:szCs w:val="24"/>
      <w:lang w:eastAsia="pl-PL"/>
      <w14:ligatures w14:val="none"/>
    </w:rPr>
  </w:style>
  <w:style w:type="character" w:customStyle="1" w:styleId="Nagwek2Znak">
    <w:name w:val="Nagłówek 2 Znak"/>
    <w:basedOn w:val="Domylnaczcionkaakapitu"/>
    <w:link w:val="Nagwek2"/>
    <w:uiPriority w:val="9"/>
    <w:rsid w:val="008B55C6"/>
    <w:rPr>
      <w:rFonts w:ascii="Arial" w:eastAsia="Times New Roman" w:hAnsi="Arial" w:cs="Arial"/>
      <w:b/>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38</Pages>
  <Words>9773</Words>
  <Characters>58643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środowiskowych uwarunkowaniach</dc:title>
  <dc:subject/>
  <dc:creator>Aleksandra Polatowska</dc:creator>
  <cp:keywords/>
  <dc:description/>
  <cp:lastModifiedBy>Łukasz Stolarski</cp:lastModifiedBy>
  <cp:revision>4</cp:revision>
  <cp:lastPrinted>2024-06-18T08:16:00Z</cp:lastPrinted>
  <dcterms:created xsi:type="dcterms:W3CDTF">2024-06-18T08:24:00Z</dcterms:created>
  <dcterms:modified xsi:type="dcterms:W3CDTF">2024-06-20T07:27:00Z</dcterms:modified>
</cp:coreProperties>
</file>